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QUATTORDICESIMA ALLA FASE SETTIMA</w:t>
      </w:r>
    </w:p>
    <w:p>
      <w:pPr>
        <w:spacing w:line="276" w:lineRule="auto" w:after="120"/>
        <w:ind w:firstLine="0"/>
        <w:jc w:val="center"/>
      </w:pPr>
      <w:r>
        <w:rPr>
          <w:rFonts w:ascii="Times New Roman" w:hAnsi="Times New Roman" w:cs="Times New Roman" w:eastAsia="Times New Roman"/>
          <w:b/>
          <w:sz w:val="24"/>
        </w:rPr>
        <w:t>La classe di comparazione che non c'è</w:t>
      </w:r>
    </w:p>
    <w:p>
      <w:pPr>
        <w:spacing w:line="276" w:lineRule="auto" w:after="120"/>
        <w:ind w:firstLine="0"/>
        <w:jc w:val="center"/>
      </w:pPr>
      <w:r>
        <w:rPr>
          <w:rFonts w:ascii="Times New Roman" w:hAnsi="Times New Roman" w:cs="Times New Roman" w:eastAsia="Times New Roman"/>
          <w:b/>
          <w:sz w:val="24"/>
        </w:rPr>
        <w:t>Le schede informative sulle stragi 1969-1984, e un errore respinto</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quattordicesima</w:t>
      </w:r>
    </w:p>
    <w:p>
      <w:pPr>
        <w:spacing w:line="276" w:lineRule="auto" w:after="120"/>
        <w:ind w:firstLine="425"/>
        <w:jc w:val="both"/>
      </w:pPr>
      <w:r>
        <w:rPr>
          <w:rFonts w:ascii="Times New Roman" w:hAnsi="Times New Roman" w:cs="Times New Roman" w:eastAsia="Times New Roman"/>
          <w:b w:val="0"/>
          <w:sz w:val="24"/>
        </w:rPr>
        <w:t>La presente è appendice quattordicesima alla Fase Settima e opera sulle schede informative allegate alla relazione sulle stragi meno recenti del periodo millenovecentosessantanove-millenovecentottantaquattro, XI legislatura, delle quali si possiede la trascrizione integrale di trentasei pagine. Come le tredici anteriori, essa non modifica alcun Capitolo: i settanta restano settanta.</w:t>
      </w:r>
    </w:p>
    <w:p>
      <w:pPr>
        <w:spacing w:line="276" w:lineRule="auto" w:after="120"/>
        <w:ind w:firstLine="425"/>
        <w:jc w:val="both"/>
      </w:pPr>
      <w:r>
        <w:rPr>
          <w:rFonts w:ascii="Times New Roman" w:hAnsi="Times New Roman" w:cs="Times New Roman" w:eastAsia="Times New Roman"/>
          <w:b w:val="0"/>
          <w:sz w:val="24"/>
        </w:rPr>
        <w:t>L'unità è stata esaminata per una ragione determinata e ha prodotto un esito contrario a quella ragione. Si cercava in essa la classe di comparazione che la Voce quinta della tavola domanda da principio e che nessuna acquisizione della giornata ha fornita. La classe non c'è, e il presente atto serve principalmente a dichiarare perché non c'è e perché credere il contrario sarebbe stato l'errore più costoso dei quattordici atti.</w:t>
      </w:r>
    </w:p>
    <w:p>
      <w:pPr>
        <w:spacing w:line="276" w:lineRule="auto" w:after="120" w:before="240"/>
        <w:ind w:firstLine="0"/>
        <w:jc w:val="left"/>
      </w:pPr>
      <w:r>
        <w:rPr>
          <w:rFonts w:ascii="Times New Roman" w:hAnsi="Times New Roman" w:cs="Times New Roman" w:eastAsia="Times New Roman"/>
          <w:b/>
          <w:sz w:val="24"/>
        </w:rPr>
        <w:t>Parte prima — Un numero di documento non è una designazione</w:t>
      </w:r>
    </w:p>
    <w:p>
      <w:pPr>
        <w:spacing w:line="276" w:lineRule="auto" w:after="120"/>
        <w:ind w:firstLine="425"/>
        <w:jc w:val="both"/>
      </w:pPr>
      <w:r>
        <w:rPr>
          <w:rFonts w:ascii="Times New Roman" w:hAnsi="Times New Roman" w:cs="Times New Roman" w:eastAsia="Times New Roman"/>
          <w:b w:val="0"/>
          <w:sz w:val="24"/>
        </w:rPr>
        <w:t>Va registrato anzitutto un fatto di designazione, poiché esso incide su ogni citazione anteriore.</w:t>
      </w:r>
    </w:p>
    <w:p>
      <w:pPr>
        <w:spacing w:line="276" w:lineRule="auto" w:after="120"/>
        <w:ind w:firstLine="425"/>
        <w:jc w:val="both"/>
      </w:pPr>
      <w:r>
        <w:rPr>
          <w:rFonts w:ascii="Times New Roman" w:hAnsi="Times New Roman" w:cs="Times New Roman" w:eastAsia="Times New Roman"/>
          <w:b w:val="0"/>
          <w:sz w:val="24"/>
        </w:rPr>
        <w:t>Il documento parlamentare XXIII numero 13 della XI legislatura reca due opere distinte. L'una è la relazione sugli sviluppi del caso, che l'appendice sesta ha esaminata. L'altra è la relazione sulle stragi meno recenti con le proprie schede informative, che la presente esamina. Sono due testi di autore, oggetto, periodo e struttura diversi, riuniti sotto un solo numero.</w:t>
      </w:r>
    </w:p>
    <w:p>
      <w:pPr>
        <w:spacing w:line="276" w:lineRule="auto" w:after="120"/>
        <w:ind w:firstLine="425"/>
        <w:jc w:val="both"/>
      </w:pPr>
      <w:r>
        <w:rPr>
          <w:rFonts w:ascii="Times New Roman" w:hAnsi="Times New Roman" w:cs="Times New Roman" w:eastAsia="Times New Roman"/>
          <w:b w:val="0"/>
          <w:sz w:val="24"/>
        </w:rPr>
        <w:t>Ne segue che la designazione di una fonte mediante il solo numero di documento parlamentare è, per questo documento, ambigua, e che chi citi il documento XXIII numero 13 non ha designato alcunché finché non indichi quale delle due opere e a quale pagina. L'appendice sesta ha citato quel numero per la relazione sul caso e lo ha fatto senza sapere che il numero ne copre due; la citazione non è falsa e la sua precisione era illusoria.</w:t>
      </w:r>
    </w:p>
    <w:p>
      <w:pPr>
        <w:spacing w:line="276" w:lineRule="auto" w:after="120"/>
        <w:ind w:firstLine="425"/>
        <w:jc w:val="both"/>
      </w:pPr>
      <w:r>
        <w:rPr>
          <w:rFonts w:ascii="Times New Roman" w:hAnsi="Times New Roman" w:cs="Times New Roman" w:eastAsia="Times New Roman"/>
          <w:b w:val="0"/>
          <w:sz w:val="24"/>
        </w:rPr>
        <w:t>Si enuncia la regola, ed è la diciassettesima della serie. Un numero di documento parlamentare designa una pubblicazione e non un'opera. Dove la pubblicazione ne raccolga più d'una, la designazione si compie per opera e per pagina, e il solo numero non basta. Si verifichi sempre, prima di citare un numero, di quante opere quel numero sia il contenitore.</w:t>
      </w:r>
    </w:p>
    <w:p>
      <w:pPr>
        <w:spacing w:line="276" w:lineRule="auto" w:after="120" w:before="240"/>
        <w:ind w:firstLine="0"/>
        <w:jc w:val="left"/>
      </w:pPr>
      <w:r>
        <w:rPr>
          <w:rFonts w:ascii="Times New Roman" w:hAnsi="Times New Roman" w:cs="Times New Roman" w:eastAsia="Times New Roman"/>
          <w:b/>
          <w:sz w:val="24"/>
        </w:rPr>
        <w:t>Parte seconda — Che cosa le schede siano</w:t>
      </w:r>
    </w:p>
    <w:p>
      <w:pPr>
        <w:spacing w:line="276" w:lineRule="auto" w:after="120"/>
        <w:ind w:firstLine="425"/>
        <w:jc w:val="both"/>
      </w:pPr>
      <w:r>
        <w:rPr>
          <w:rFonts w:ascii="Times New Roman" w:hAnsi="Times New Roman" w:cs="Times New Roman" w:eastAsia="Times New Roman"/>
          <w:b w:val="0"/>
          <w:sz w:val="24"/>
        </w:rPr>
        <w:t>Le schede sono otto e riguardano, nell'ordine cronologico che esse osservano, gli attentati simultanei del dicembre millenovecentosessantanove, il deragliamento del luglio millenovecentosettanta, l'attentato del maggio millenovecentosettantadue in provincia di Gorizia, l'attentato del maggio millenovecentosettantatré dinanzi a una questura, la strage del maggio millenovecentosettantaquattro in una piazza lombarda, quella dell'agosto del medesimo anno su un convoglio ferroviario, quella dell'agosto millenovecentottanta in una stazione, e quella del dicembre millenovecentottantaquattro su un secondo convoglio.</w:t>
      </w:r>
    </w:p>
    <w:p>
      <w:pPr>
        <w:spacing w:line="276" w:lineRule="auto" w:after="120"/>
        <w:ind w:firstLine="425"/>
        <w:jc w:val="both"/>
      </w:pPr>
      <w:r>
        <w:rPr>
          <w:rFonts w:ascii="Times New Roman" w:hAnsi="Times New Roman" w:cs="Times New Roman" w:eastAsia="Times New Roman"/>
          <w:b w:val="0"/>
          <w:sz w:val="24"/>
        </w:rPr>
        <w:t>Ciascuna scheda espone il fatto, l'itinerario processuale con le sedi, le date e gli esiti, e le vicende istruttorie che lo accompagnarono.</w:t>
      </w:r>
    </w:p>
    <w:p>
      <w:pPr>
        <w:spacing w:line="276" w:lineRule="auto" w:after="120"/>
        <w:ind w:firstLine="425"/>
        <w:jc w:val="both"/>
      </w:pPr>
      <w:r>
        <w:rPr>
          <w:rFonts w:ascii="Times New Roman" w:hAnsi="Times New Roman" w:cs="Times New Roman" w:eastAsia="Times New Roman"/>
          <w:b w:val="0"/>
          <w:sz w:val="24"/>
        </w:rPr>
        <w:t>Si registra una disuguaglianza interna che è essa stessa un dato. L'ampiezza delle schede varia da circa cinquecento parole a circa quattromiladuecento, con uno scarto di otto volte fra la più breve e la più estesa. La più estesa riguarda la strage del millenovecentottanta; la più breve un attentato del millenovecentosettantatré.</w:t>
      </w:r>
    </w:p>
    <w:p>
      <w:pPr>
        <w:spacing w:line="276" w:lineRule="auto" w:after="120"/>
        <w:ind w:firstLine="425"/>
        <w:jc w:val="both"/>
      </w:pPr>
      <w:r>
        <w:rPr>
          <w:rFonts w:ascii="Times New Roman" w:hAnsi="Times New Roman" w:cs="Times New Roman" w:eastAsia="Times New Roman"/>
          <w:b w:val="0"/>
          <w:sz w:val="24"/>
        </w:rPr>
        <w:t>Lo scarto non misura la gravità dei fatti né il numero delle vittime. Misura lo stato dell'accertamento: una scheda è lunga dove molto fu accertato e dove molte istruttorie si succedettero, ed è breve dove poco fu accertato. Ne segue che l'ampiezza di una scheda è un indicatore dell'attività giudiziaria e non della materia, e che leggerla altrimenti significherebbe attribuire minore rilievo ai fatti sui quali si è indagato meno, il che è l'inversione esatta di ciò che la disciplina prescrive.</w:t>
      </w:r>
    </w:p>
    <w:p>
      <w:pPr>
        <w:spacing w:line="276" w:lineRule="auto" w:after="120" w:before="240"/>
        <w:ind w:firstLine="0"/>
        <w:jc w:val="left"/>
      </w:pPr>
      <w:r>
        <w:rPr>
          <w:rFonts w:ascii="Times New Roman" w:hAnsi="Times New Roman" w:cs="Times New Roman" w:eastAsia="Times New Roman"/>
          <w:b/>
          <w:sz w:val="24"/>
        </w:rPr>
        <w:t>Parte terza — La tentazione, e la ragione per cui va respinta</w:t>
      </w:r>
    </w:p>
    <w:p>
      <w:pPr>
        <w:spacing w:line="276" w:lineRule="auto" w:after="120"/>
        <w:ind w:firstLine="425"/>
        <w:jc w:val="both"/>
      </w:pPr>
      <w:r>
        <w:rPr>
          <w:rFonts w:ascii="Times New Roman" w:hAnsi="Times New Roman" w:cs="Times New Roman" w:eastAsia="Times New Roman"/>
          <w:b w:val="0"/>
          <w:sz w:val="24"/>
        </w:rPr>
        <w:t>La Voce quinta della tavola domanda il tasso ordinario di omissioni procedurali presso uffici comparabili nel periodo, poiché senza di esso l'irregolarità dell'ottobre millenovecentosettantotto — l'asportazione di un fascicolo dal luogo prima che i fogli fossero numerati a verbale — non è collocabile: non si sa se essa fosse eccezionale o ordinaria, e da ciò dipende ogni valutazione che la riguardi.</w:t>
      </w:r>
    </w:p>
    <w:p>
      <w:pPr>
        <w:spacing w:line="276" w:lineRule="auto" w:after="120"/>
        <w:ind w:firstLine="425"/>
        <w:jc w:val="both"/>
      </w:pPr>
      <w:r>
        <w:rPr>
          <w:rFonts w:ascii="Times New Roman" w:hAnsi="Times New Roman" w:cs="Times New Roman" w:eastAsia="Times New Roman"/>
          <w:b w:val="0"/>
          <w:sz w:val="24"/>
        </w:rPr>
        <w:t>Le schede sembrano fornire quella classe. Esse documentano, strage per strage, irregolarità istruttorie di specie diverse: manipolazioni sui corpi di reato, distruzione di materiale sequestrato all'insaputa dei magistrati, omessa informazione dei magistrati su riscontri già acquisiti dalla polizia, occultamento di rapporti con successiva condanna penale, falso ideologico accertato in sede di giudizio, dichiarazioni di sedicenti collaboratori accertate come false, inquinamento delle indagini mediante materiale collocato per avvalorare una pista.</w:t>
      </w:r>
    </w:p>
    <w:p>
      <w:pPr>
        <w:spacing w:line="276" w:lineRule="auto" w:after="120"/>
        <w:ind w:firstLine="425"/>
        <w:jc w:val="both"/>
      </w:pPr>
      <w:r>
        <w:rPr>
          <w:rFonts w:ascii="Times New Roman" w:hAnsi="Times New Roman" w:cs="Times New Roman" w:eastAsia="Times New Roman"/>
          <w:b w:val="0"/>
          <w:sz w:val="24"/>
        </w:rPr>
        <w:t>La tentazione è di contare: otto stragi, irregolarità documentate nella maggior parte di esse, dunque un tasso elevato, dunque l'irregolarità del millenovecentosettantotto è ordinaria.</w:t>
      </w:r>
    </w:p>
    <w:p>
      <w:pPr>
        <w:spacing w:line="276" w:lineRule="auto" w:after="120"/>
        <w:ind w:firstLine="425"/>
        <w:jc w:val="both"/>
      </w:pPr>
      <w:r>
        <w:rPr>
          <w:rFonts w:ascii="Times New Roman" w:hAnsi="Times New Roman" w:cs="Times New Roman" w:eastAsia="Times New Roman"/>
          <w:b w:val="0"/>
          <w:sz w:val="24"/>
        </w:rPr>
        <w:t>Il ragionamento è viziato e va respinto per intero.</w:t>
      </w:r>
    </w:p>
    <w:p>
      <w:pPr>
        <w:spacing w:line="276" w:lineRule="auto" w:after="120"/>
        <w:ind w:firstLine="425"/>
        <w:jc w:val="both"/>
      </w:pPr>
      <w:r>
        <w:rPr>
          <w:rFonts w:ascii="Times New Roman" w:hAnsi="Times New Roman" w:cs="Times New Roman" w:eastAsia="Times New Roman"/>
          <w:b w:val="0"/>
          <w:sz w:val="24"/>
        </w:rPr>
        <w:t>Le otto schede non sono un campione. Sono le stragi più note del periodo, e sono note per una ragione che coincide con ciò che si vorrebbe misurare: sono le vicende nelle quali l'accertamento fallì o durò decenni, e sono state selezionate e istruite proprio perché giudiziariamente problematiche. Contare le irregolarità in un insieme scelto per la propria problematicità e trarne un tasso ordinario significa selezionare sulla variabile che si intende misurare. È l'errore che, in altra forma, il corpus maggiore ha già iscritto fra le proprie risultanze sotto il nome di effetto del lampione: si misura dove la luce cade, e la luce cade dove qualcosa fu trovato.</w:t>
      </w:r>
    </w:p>
    <w:p>
      <w:pPr>
        <w:spacing w:line="276" w:lineRule="auto" w:after="120"/>
        <w:ind w:firstLine="425"/>
        <w:jc w:val="both"/>
      </w:pPr>
      <w:r>
        <w:rPr>
          <w:rFonts w:ascii="Times New Roman" w:hAnsi="Times New Roman" w:cs="Times New Roman" w:eastAsia="Times New Roman"/>
          <w:b w:val="0"/>
          <w:sz w:val="24"/>
        </w:rPr>
        <w:t>Si dichiara pertanto che le schede non forniscono la classe di comparazione domandata dalla Voce quinta, e che la Voce quinta resta aperta. Si registra la circostanza fra gli esiti negativi, ed è il settimo della giornata.</w:t>
      </w:r>
    </w:p>
    <w:p>
      <w:pPr>
        <w:spacing w:line="276" w:lineRule="auto" w:after="120"/>
        <w:ind w:firstLine="425"/>
        <w:jc w:val="both"/>
      </w:pPr>
      <w:r>
        <w:rPr>
          <w:rFonts w:ascii="Times New Roman" w:hAnsi="Times New Roman" w:cs="Times New Roman" w:eastAsia="Times New Roman"/>
          <w:b w:val="0"/>
          <w:sz w:val="24"/>
        </w:rPr>
        <w:t>Si aggiunge la ragione per la quale l'errore sarebbe stato costoso più di ogni altro commesso oggi. Gli errori di misura e di strumento registrati nelle appendici anteriori producevano cifre sbagliate, e una cifra sbagliata si corregge. Questo avrebbe prodotto una collocazione: avrebbe stabilito che l'irregolarità del millenovecentosettantotto era ordinaria, e da quella collocazione sarebbe disceso che essa non richiede spiegazione. Un errore che dispensa dal cercare non si corregge, perché sopprime la ricerca che lo avrebbe corretto.</w:t>
      </w:r>
    </w:p>
    <w:p>
      <w:pPr>
        <w:spacing w:line="276" w:lineRule="auto" w:after="120" w:before="240"/>
        <w:ind w:firstLine="0"/>
        <w:jc w:val="left"/>
      </w:pPr>
      <w:r>
        <w:rPr>
          <w:rFonts w:ascii="Times New Roman" w:hAnsi="Times New Roman" w:cs="Times New Roman" w:eastAsia="Times New Roman"/>
          <w:b/>
          <w:sz w:val="24"/>
        </w:rPr>
        <w:t>Parte quarta — Che cosa le schede danno realmente</w:t>
      </w:r>
    </w:p>
    <w:p>
      <w:pPr>
        <w:spacing w:line="276" w:lineRule="auto" w:after="120"/>
        <w:ind w:firstLine="425"/>
        <w:jc w:val="both"/>
      </w:pPr>
      <w:r>
        <w:rPr>
          <w:rFonts w:ascii="Times New Roman" w:hAnsi="Times New Roman" w:cs="Times New Roman" w:eastAsia="Times New Roman"/>
          <w:b w:val="0"/>
          <w:sz w:val="24"/>
        </w:rPr>
        <w:t>Respinta la lettura quantitativa, resta una lettura tipologica, che è legittima e utile.</w:t>
      </w:r>
    </w:p>
    <w:p>
      <w:pPr>
        <w:spacing w:line="276" w:lineRule="auto" w:after="120"/>
        <w:ind w:firstLine="425"/>
        <w:jc w:val="both"/>
      </w:pPr>
      <w:r>
        <w:rPr>
          <w:rFonts w:ascii="Times New Roman" w:hAnsi="Times New Roman" w:cs="Times New Roman" w:eastAsia="Times New Roman"/>
          <w:b w:val="0"/>
          <w:sz w:val="24"/>
        </w:rPr>
        <w:t>Le schede stabiliscono che le irregolarità istruttorie nei procedimenti per strage del periodo appartengono a generi ricorrenti e nominabili, e ne documentano almeno cinque. Il primo è la manipolazione o la distruzione del corpo di reato. Il secondo è l'omessa trasmissione ai magistrati di riscontri già in possesso della polizia. Il terzo è l'occultamento di atti, accertato in sede penale con condanna. Il quarto è la falsità di dichiarazioni rese da sedicenti collaboratori, in taluni casi accertata come strumentale a fini diversi dall'inchiesta. Il quinto è la collocazione di materiale documentale destinato ad avvalorare una pista determinata.</w:t>
      </w:r>
    </w:p>
    <w:p>
      <w:pPr>
        <w:spacing w:line="276" w:lineRule="auto" w:after="120"/>
        <w:ind w:firstLine="425"/>
        <w:jc w:val="both"/>
      </w:pPr>
      <w:r>
        <w:rPr>
          <w:rFonts w:ascii="Times New Roman" w:hAnsi="Times New Roman" w:cs="Times New Roman" w:eastAsia="Times New Roman"/>
          <w:b w:val="0"/>
          <w:sz w:val="24"/>
        </w:rPr>
        <w:t>Questa tipologia consente una sola operazione, e la si compie. L'irregolarità dell'ottobre millenovecentosettantotto appartiene al primo genere: essa riguarda la custodia di un corpo di reato nella fase immediatamente successiva al rinvenimento. Il genere è documentato, per il periodo, da almeno due istanze in una sola delle schede.</w:t>
      </w:r>
    </w:p>
    <w:p>
      <w:pPr>
        <w:spacing w:line="276" w:lineRule="auto" w:after="120"/>
        <w:ind w:firstLine="425"/>
        <w:jc w:val="both"/>
      </w:pPr>
      <w:r>
        <w:rPr>
          <w:rFonts w:ascii="Times New Roman" w:hAnsi="Times New Roman" w:cs="Times New Roman" w:eastAsia="Times New Roman"/>
          <w:b w:val="0"/>
          <w:sz w:val="24"/>
        </w:rPr>
        <w:t>Si dichiari con esattezza che cosa questa collocazione stabilisca. Stabilisce che la figura non è isolata nel proprio genere. Non stabilisce che sia frequente, poiché l'appartenenza a un genere non è una frequenza; e non stabilisce che sia ordinaria, poiché ordinario è ciò che accade nella maggior parte dei casi comparabili, e i casi comparabili non sono stati contati.</w:t>
      </w:r>
    </w:p>
    <w:p>
      <w:pPr>
        <w:spacing w:line="276" w:lineRule="auto" w:after="120"/>
        <w:ind w:firstLine="425"/>
        <w:jc w:val="both"/>
      </w:pPr>
      <w:r>
        <w:rPr>
          <w:rFonts w:ascii="Times New Roman" w:hAnsi="Times New Roman" w:cs="Times New Roman" w:eastAsia="Times New Roman"/>
          <w:b w:val="0"/>
          <w:sz w:val="24"/>
        </w:rPr>
        <w:t>Si registra inoltre un esito negativo interno alla tipologia. La lettura condotta non ha rinvenuto, in alcuna delle otto schede, la figura specifica dell'ottobre millenovecentosettantotto, cioè l'asportazione di un insieme di documenti dal luogo del rinvenimento prima della loro numerazione a verbale e la restituzione successiva. La lettura è stata condotta per parole chiave sul testo integrale e per lettura diretta dei passaggi segnalati, e non per lettura integrale delle trentasei pagine; l'esito negativo è dichiarato con questo limite.</w:t>
      </w:r>
    </w:p>
    <w:p>
      <w:pPr>
        <w:spacing w:line="276" w:lineRule="auto" w:after="120"/>
        <w:ind w:firstLine="425"/>
        <w:jc w:val="both"/>
      </w:pPr>
      <w:r>
        <w:rPr>
          <w:rFonts w:ascii="Times New Roman" w:hAnsi="Times New Roman" w:cs="Times New Roman" w:eastAsia="Times New Roman"/>
          <w:b w:val="0"/>
          <w:sz w:val="24"/>
        </w:rPr>
        <w:t>Ove esso sia confermato da lettura integrale, ne discenderebbe che la figura del millenovecentosettantotto non è rappresentata nella tipologia delle irregolarità documentate per le stragi del periodo, il che non ne farebbe una figura unica — le schede riguardano otto vicende e non tutte — ma la collocherebbe fuori dai generi ricorrenti anziché dentro uno di essi. È l'opposto della conclusione che la lettura quantitativa avrebbe suggerita.</w:t>
      </w:r>
    </w:p>
    <w:p>
      <w:pPr>
        <w:spacing w:line="276" w:lineRule="auto" w:after="120" w:before="240"/>
        <w:ind w:firstLine="0"/>
        <w:jc w:val="left"/>
      </w:pPr>
      <w:r>
        <w:rPr>
          <w:rFonts w:ascii="Times New Roman" w:hAnsi="Times New Roman" w:cs="Times New Roman" w:eastAsia="Times New Roman"/>
          <w:b/>
          <w:sz w:val="24"/>
        </w:rPr>
        <w:t>Parte quinta — Dove la classe di comparazione vada cercata</w:t>
      </w:r>
    </w:p>
    <w:p>
      <w:pPr>
        <w:spacing w:line="276" w:lineRule="auto" w:after="120"/>
        <w:ind w:firstLine="425"/>
        <w:jc w:val="both"/>
      </w:pPr>
      <w:r>
        <w:rPr>
          <w:rFonts w:ascii="Times New Roman" w:hAnsi="Times New Roman" w:cs="Times New Roman" w:eastAsia="Times New Roman"/>
          <w:b w:val="0"/>
          <w:sz w:val="24"/>
        </w:rPr>
        <w:t>Se le vicende eccezionali non forniscono il tasso ordinario, esso va cercato dove l'ordinario si trova, e la sede è indicabile.</w:t>
      </w:r>
    </w:p>
    <w:p>
      <w:pPr>
        <w:spacing w:line="276" w:lineRule="auto" w:after="120"/>
        <w:ind w:firstLine="425"/>
        <w:jc w:val="both"/>
      </w:pPr>
      <w:r>
        <w:rPr>
          <w:rFonts w:ascii="Times New Roman" w:hAnsi="Times New Roman" w:cs="Times New Roman" w:eastAsia="Times New Roman"/>
          <w:b w:val="0"/>
          <w:sz w:val="24"/>
        </w:rPr>
        <w:t>La classe di comparazione appropriata alla Voce quinta non è costituita dai procedimenti per strage, ma dai procedimenti ordinari coevi nei quali si sia proceduto a perquisizione e a sequestro di documentazione: procedimenti per reati comuni, trattati da uffici di polizia giudiziaria comparabili, nel medesimo periodo e nella medesima area. In quella classe l'osservanza o l'inosservanza della numerazione preventiva dei documenti sequestrati è un dato di prassi, rilevabile su un numero sufficiente di casi e non selezionato per la propria problematicità.</w:t>
      </w:r>
    </w:p>
    <w:p>
      <w:pPr>
        <w:spacing w:line="276" w:lineRule="auto" w:after="120"/>
        <w:ind w:firstLine="425"/>
        <w:jc w:val="both"/>
      </w:pPr>
      <w:r>
        <w:rPr>
          <w:rFonts w:ascii="Times New Roman" w:hAnsi="Times New Roman" w:cs="Times New Roman" w:eastAsia="Times New Roman"/>
          <w:b w:val="0"/>
          <w:sz w:val="24"/>
        </w:rPr>
        <w:t>Voce quarantottesima — La prassi ordinaria di numerazione dei documenti sequestrati. Oggetto: l'accertamento, su un insieme di procedimenti ordinari coevi comprendenti perquisizione e sequestro di documentazione, della frequenza con la quale i documenti sequestrati fossero numerati a verbale prima dell'asportazione dal luogo. Sede: archivi giudiziari e prontuari operativi delle forze di polizia giudiziaria del periodo; manuali e circolari sulla formazione dei verbali di sequestro. Chiusura: determinazione di una frequenza su un insieme non selezionato. Smentita: la constatazione che non esistesse all'epoca alcuna prescrizione di numerazione preventiva, nel qual caso l'omissione del millenovecentosettantotto non sarebbe inosservanza di una regola ma assenza di una regola, e la Voce quinta si chiuderebbe con esito opposto a quello atteso.</w:t>
      </w:r>
    </w:p>
    <w:p>
      <w:pPr>
        <w:spacing w:line="276" w:lineRule="auto" w:after="120"/>
        <w:ind w:firstLine="425"/>
        <w:jc w:val="both"/>
      </w:pPr>
      <w:r>
        <w:rPr>
          <w:rFonts w:ascii="Times New Roman" w:hAnsi="Times New Roman" w:cs="Times New Roman" w:eastAsia="Times New Roman"/>
          <w:b w:val="0"/>
          <w:sz w:val="24"/>
        </w:rPr>
        <w:t>Si segnala che la condizione di smentita qui formulata è la più significativa fra quelle iscritte oggi, poiché il suo verificarsi rovescerebbe il senso di una delle poche irregolarità che l'opera ha ritenute superare tutti e tre i tempi del proprio test.</w:t>
      </w:r>
    </w:p>
    <w:p>
      <w:pPr>
        <w:spacing w:line="276" w:lineRule="auto" w:after="120" w:before="240"/>
        <w:ind w:firstLine="0"/>
        <w:jc w:val="left"/>
      </w:pPr>
      <w:r>
        <w:rPr>
          <w:rFonts w:ascii="Times New Roman" w:hAnsi="Times New Roman" w:cs="Times New Roman" w:eastAsia="Times New Roman"/>
          <w:b/>
          <w:sz w:val="24"/>
        </w:rPr>
        <w:t>Parte sesta — Mutazioni di stato e Stati Zero</w:t>
      </w:r>
    </w:p>
    <w:p>
      <w:pPr>
        <w:spacing w:line="276" w:lineRule="auto" w:after="120"/>
        <w:ind w:firstLine="425"/>
        <w:jc w:val="both"/>
      </w:pPr>
      <w:r>
        <w:rPr>
          <w:rFonts w:ascii="Times New Roman" w:hAnsi="Times New Roman" w:cs="Times New Roman" w:eastAsia="Times New Roman"/>
          <w:b w:val="0"/>
          <w:sz w:val="24"/>
        </w:rPr>
        <w:t>La Voce quinta non si chiude e non progredisce quanto al proprio oggetto; progredisce quanto alla propria formulazione, poiché è ora indicata la classe entro la quale la ricerca va condotta e quella entro la quale non va condotta. Si iscrive la Voce quarantottesima. Si enuncia la diciassettesima regola della risalita. Nessun grado di alcuna proposizione dell'opera muta.</w:t>
      </w:r>
    </w:p>
    <w:p>
      <w:pPr>
        <w:spacing w:line="276" w:lineRule="auto" w:after="120"/>
        <w:ind w:firstLine="425"/>
        <w:jc w:val="both"/>
      </w:pPr>
      <w:r>
        <w:rPr>
          <w:rFonts w:ascii="Times New Roman" w:hAnsi="Times New Roman" w:cs="Times New Roman" w:eastAsia="Times New Roman"/>
          <w:b w:val="0"/>
          <w:sz w:val="24"/>
        </w:rPr>
        <w:t>Si dichiarano gli Stati Zero. Primo: la classe di comparazione domandata dalla Voce quinta non è fornita dalle schede e resta da costituire. Secondo: la lettura delle schede è stata condotta per parole chiave e per campione e non integralmente, e l'esito negativo sulla figura specifica è dichiarato con questo limite. Terzo: la relazione sulle stragi meno recenti alla quale le schede sono allegate non è posseduta nel proprio testo, ma soltanto nelle schede; e una relazione dice, delle proprie schede, ciò che esse non dicono di sé.</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dodicesima del giorno sul medesimo cantiere. Cantiere: designazione per atto delle fonti e classe di comparazione. Materia: le schede informative sulle stragi del periodo millenovecentosessantanove-millenovecentottantaquattro.</w:t>
      </w:r>
    </w:p>
    <w:p>
      <w:pPr>
        <w:spacing w:line="276" w:lineRule="auto" w:after="120"/>
        <w:ind w:firstLine="425"/>
        <w:jc w:val="both"/>
      </w:pPr>
      <w:r>
        <w:rPr>
          <w:rFonts w:ascii="Times New Roman" w:hAnsi="Times New Roman" w:cs="Times New Roman" w:eastAsia="Times New Roman"/>
          <w:b w:val="0"/>
          <w:sz w:val="24"/>
        </w:rPr>
        <w:t>Esito positivo: accertamento che un solo numero di documento parlamentare copre due opere distinte, con enunciazione della diciassettesima regola della risalita; rilevazione della disuguaglianza di ampiezza fra le otto schede e della sua interpretazione come indicatore dello stato dell'accertamento e non della materia; enunciazione di una tipologia in cinque generi delle irregolarità istruttorie documentate per il periodo; collocazione dell'irregolarità dell'ottobre millenovecentosettantotto nel primo genere, con dichiarazione espressa di ciò che la collocazione non stabilisce; indicazione della classe entro la quale la comparazione domandata dalla Voce quinta va condotta; una voce nuova iscritta in tavola, con la condizione di smentita più significativa della giornata.</w:t>
      </w:r>
    </w:p>
    <w:p>
      <w:pPr>
        <w:spacing w:line="276" w:lineRule="auto" w:after="120"/>
        <w:ind w:firstLine="425"/>
        <w:jc w:val="both"/>
      </w:pPr>
      <w:r>
        <w:rPr>
          <w:rFonts w:ascii="Times New Roman" w:hAnsi="Times New Roman" w:cs="Times New Roman" w:eastAsia="Times New Roman"/>
          <w:b w:val="0"/>
          <w:sz w:val="24"/>
        </w:rPr>
        <w:t>Esito negativo: le schede non forniscono la classe di comparazione e la Voce quinta resta aperta; la figura specifica dell'ottobre millenovecentosettantotto non risulta rappresentata nella tipologia, con il limite della lettura non integrale; la relazione alla quale le schede sono allegate non è posseduta.</w:t>
      </w:r>
    </w:p>
    <w:p>
      <w:pPr>
        <w:spacing w:line="276" w:lineRule="auto" w:after="120"/>
        <w:ind w:firstLine="425"/>
        <w:jc w:val="both"/>
      </w:pPr>
      <w:r>
        <w:rPr>
          <w:rFonts w:ascii="Times New Roman" w:hAnsi="Times New Roman" w:cs="Times New Roman" w:eastAsia="Times New Roman"/>
          <w:b w:val="0"/>
          <w:sz w:val="24"/>
        </w:rPr>
        <w:t>Riga di errore respinto. Si registra, come si è registrato un errore evitato nell'appendice ottava, la lettura quantitativa che le schede invitavano a compiere e che avrebbe stabilito, contando irregolarità in otto vicende scelte per la propria problematicità, un tasso ordinario di irregolarità. Il vizio è la selezione sulla variabile che si intende misurare. Si registra altresì la ragione per la quale questo errore sarebbe stato più costoso di tutti quelli commessi oggi: gli errori di misura producono cifre sbagliate e una cifra si corregge; questo avrebbe prodotto una collocazione, e da essa sarebbe disceso che l'irregolarità del millenovecentosettantotto non richiede spiegazione. Un errore che dispensa dal cercare sopprime la ricerca che lo avrebbe corretto.</w:t>
      </w:r>
    </w:p>
    <w:p>
      <w:pPr>
        <w:spacing w:line="276" w:lineRule="auto" w:after="120"/>
        <w:ind w:firstLine="425"/>
        <w:jc w:val="both"/>
      </w:pPr>
      <w:r>
        <w:rPr>
          <w:rFonts w:ascii="Times New Roman" w:hAnsi="Times New Roman" w:cs="Times New Roman" w:eastAsia="Times New Roman"/>
          <w:b w:val="0"/>
          <w:sz w:val="24"/>
        </w:rPr>
        <w:t>Riga di avvertenza. Le schede qui esaminate riguardano vicende estranee alla materia dell'opera e appartenenti al corpus maggiore. Il presente atto non ne riferisce il merito, non nomina alcuna delle persone che vi compaiono e non riporta alcuno degli esiti processuali che esse recano, salvo la menzione, in forma generica e senza nomi, dei generi di irregolarità accertati. Ove il corpus maggiore venga a impiegarle, dovrà graduarle per ciò che sono: ricostruzioni di organo qualificato, e non accertamenti.</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QUATTORDICESIMA ALLA FASE SETTIMA, la classe di comparazione che non c'è, quindici agosto duemilaventisei. I settanta Capitoli restano settanta. Le redazioni anteriori non sono modificate: le pietre deposte non si scalpellano. Resta sovrana la Regola di Ferro: dove la fonte documenta, l'opera certifica; dove la fonte tace, l'opera indaga e non afferma. Un errore che dispensa dal cercare sopprime la ricerca che lo avrebbe corretto.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