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QUINDICESIMA ALLA FASE SETTIMA</w:t>
      </w:r>
    </w:p>
    <w:p>
      <w:pPr>
        <w:spacing w:line="276" w:lineRule="auto" w:after="120"/>
        <w:ind w:firstLine="0"/>
        <w:jc w:val="center"/>
      </w:pPr>
      <w:r>
        <w:rPr>
          <w:rFonts w:ascii="Times New Roman" w:hAnsi="Times New Roman" w:cs="Times New Roman" w:eastAsia="Times New Roman"/>
          <w:b/>
          <w:sz w:val="24"/>
        </w:rPr>
        <w:t>La relazione che non fu discussa</w:t>
      </w:r>
    </w:p>
    <w:p>
      <w:pPr>
        <w:spacing w:line="276" w:lineRule="auto" w:after="120"/>
        <w:ind w:firstLine="0"/>
        <w:jc w:val="center"/>
      </w:pPr>
      <w:r>
        <w:rPr>
          <w:rFonts w:ascii="Times New Roman" w:hAnsi="Times New Roman" w:cs="Times New Roman" w:eastAsia="Times New Roman"/>
          <w:b/>
          <w:sz w:val="24"/>
        </w:rPr>
        <w:t>Terza relazione semestrale, XII legislatura, documento XXIII numero 7</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quindicesima</w:t>
      </w:r>
    </w:p>
    <w:p>
      <w:pPr>
        <w:spacing w:line="276" w:lineRule="auto" w:after="120"/>
        <w:ind w:firstLine="425"/>
        <w:jc w:val="both"/>
      </w:pPr>
      <w:r>
        <w:rPr>
          <w:rFonts w:ascii="Times New Roman" w:hAnsi="Times New Roman" w:cs="Times New Roman" w:eastAsia="Times New Roman"/>
          <w:b w:val="0"/>
          <w:sz w:val="24"/>
        </w:rPr>
        <w:t>La presente è appendice quindicesima alla Fase Settima e opera sulla terza relazione semestrale della Commissione della XII legislatura, comunicata alle Presidenze il ventuno febbraio millenovecentonovantasei e stampata come documento XXIII numero 7. Come le quattordici anteriori, essa non modifica alcun Capitolo: i settanta restano settanta.</w:t>
      </w:r>
    </w:p>
    <w:p>
      <w:pPr>
        <w:spacing w:line="276" w:lineRule="auto" w:after="120"/>
        <w:ind w:firstLine="425"/>
        <w:jc w:val="both"/>
      </w:pPr>
      <w:r>
        <w:rPr>
          <w:rFonts w:ascii="Times New Roman" w:hAnsi="Times New Roman" w:cs="Times New Roman" w:eastAsia="Times New Roman"/>
          <w:b w:val="0"/>
          <w:sz w:val="24"/>
        </w:rPr>
        <w:t>L'unità copre il periodo dal venti luglio millenovecentonovantacinque al sedici febbraio millenovecentonovantasei, data del decreto di scioglimento delle Camere, ed è la relazione con la quale quella Commissione chiude i propri lavori. Essa non reca alcuna attività sul caso, e il presente atto lo dichiara subito: il suo rendimento per l'opera è di natura metodologica e non documentale.</w:t>
      </w:r>
    </w:p>
    <w:p>
      <w:pPr>
        <w:spacing w:line="276" w:lineRule="auto" w:after="120" w:before="240"/>
        <w:ind w:firstLine="0"/>
        <w:jc w:val="left"/>
      </w:pPr>
      <w:r>
        <w:rPr>
          <w:rFonts w:ascii="Times New Roman" w:hAnsi="Times New Roman" w:cs="Times New Roman" w:eastAsia="Times New Roman"/>
          <w:b/>
          <w:sz w:val="24"/>
        </w:rPr>
        <w:t>Parte prima — La relazione che non fu discussa</w:t>
      </w:r>
    </w:p>
    <w:p>
      <w:pPr>
        <w:spacing w:line="276" w:lineRule="auto" w:after="120"/>
        <w:ind w:firstLine="425"/>
        <w:jc w:val="both"/>
      </w:pPr>
      <w:r>
        <w:rPr>
          <w:rFonts w:ascii="Times New Roman" w:hAnsi="Times New Roman" w:cs="Times New Roman" w:eastAsia="Times New Roman"/>
          <w:b w:val="0"/>
          <w:sz w:val="24"/>
        </w:rPr>
        <w:t>L'indice della relazione reca, in successione, quattro voci che vanno lette insieme: il deposito della proposta di relazione finale; la decisione di non porre subito in discussione il documento; lo stralcio del capitolo dedicato a una delle inchieste; l'interruzione delle attività d'inchiesta conseguente allo scioglimento anticipato delle Camere.</w:t>
      </w:r>
    </w:p>
    <w:p>
      <w:pPr>
        <w:spacing w:line="276" w:lineRule="auto" w:after="120"/>
        <w:ind w:firstLine="425"/>
        <w:jc w:val="both"/>
      </w:pPr>
      <w:r>
        <w:rPr>
          <w:rFonts w:ascii="Times New Roman" w:hAnsi="Times New Roman" w:cs="Times New Roman" w:eastAsia="Times New Roman"/>
          <w:b w:val="0"/>
          <w:sz w:val="24"/>
        </w:rPr>
        <w:t>La sequenza descrive un documento che fu redatto, depositato, non discusso, amputato di un capitolo e infine travolto dallo scioglimento. Esso non fu approvato.</w:t>
      </w:r>
    </w:p>
    <w:p>
      <w:pPr>
        <w:spacing w:line="276" w:lineRule="auto" w:after="120"/>
        <w:ind w:firstLine="425"/>
        <w:jc w:val="both"/>
      </w:pPr>
      <w:r>
        <w:rPr>
          <w:rFonts w:ascii="Times New Roman" w:hAnsi="Times New Roman" w:cs="Times New Roman" w:eastAsia="Times New Roman"/>
          <w:b w:val="0"/>
          <w:sz w:val="24"/>
        </w:rPr>
        <w:t>Si accosti questa sequenza a quanto l'appendice settima ha accertato sulla base delle due relazioni semestrali anteriori: che le relazioni trasmesse alle Camere dalle Commissioni delle legislature precedenti sono documenti la cui discussione non fu mai posta all'ordine del giorno di alcuna Assemblea. Là il difetto di deliberazione era a valle, in sede parlamentare; qui è a monte, entro l'organo medesimo, che non pose in discussione il proprio documento.</w:t>
      </w:r>
    </w:p>
    <w:p>
      <w:pPr>
        <w:spacing w:line="276" w:lineRule="auto" w:after="120"/>
        <w:ind w:firstLine="425"/>
        <w:jc w:val="both"/>
      </w:pPr>
      <w:r>
        <w:rPr>
          <w:rFonts w:ascii="Times New Roman" w:hAnsi="Times New Roman" w:cs="Times New Roman" w:eastAsia="Times New Roman"/>
          <w:b w:val="0"/>
          <w:sz w:val="24"/>
        </w:rPr>
        <w:t>Se ne trae la regola, ed è la diciottesima della serie. Una proposta di relazione depositata e non discussa non è una relazione; un capitolo stralciato non è un capitolo; una relazione approvata da un organo e non discussa dall'Assemblea non è una pronuncia dell'Assemblea. Le fonti di questa specie si designano per lo stato deliberativo che hanno effettivamente raggiunto, e il grado che conferiscono si commisura a quello stato e non alla sede nella quale furono redatte.</w:t>
      </w:r>
    </w:p>
    <w:p>
      <w:pPr>
        <w:spacing w:line="276" w:lineRule="auto" w:after="120"/>
        <w:ind w:firstLine="425"/>
        <w:jc w:val="both"/>
      </w:pPr>
      <w:r>
        <w:rPr>
          <w:rFonts w:ascii="Times New Roman" w:hAnsi="Times New Roman" w:cs="Times New Roman" w:eastAsia="Times New Roman"/>
          <w:b w:val="0"/>
          <w:sz w:val="24"/>
        </w:rPr>
        <w:t>Si dispone che, nelle redazioni successive, ogni citazione di un documento d'inchiesta rechi l'indicazione del proprio stato deliberativo: proposta depositata, documento approvato dall'organo, documento discusso in Assemblea. Le tre condizioni sono diverse e producono gradi diversi.</w:t>
      </w:r>
    </w:p>
    <w:p>
      <w:pPr>
        <w:spacing w:line="276" w:lineRule="auto" w:after="120" w:before="240"/>
        <w:ind w:firstLine="0"/>
        <w:jc w:val="left"/>
      </w:pPr>
      <w:r>
        <w:rPr>
          <w:rFonts w:ascii="Times New Roman" w:hAnsi="Times New Roman" w:cs="Times New Roman" w:eastAsia="Times New Roman"/>
          <w:b/>
          <w:sz w:val="24"/>
        </w:rPr>
        <w:t>Parte seconda — L'organo teorizza la propria discontinuità</w:t>
      </w:r>
    </w:p>
    <w:p>
      <w:pPr>
        <w:spacing w:line="276" w:lineRule="auto" w:after="120"/>
        <w:ind w:firstLine="425"/>
        <w:jc w:val="both"/>
      </w:pPr>
      <w:r>
        <w:rPr>
          <w:rFonts w:ascii="Times New Roman" w:hAnsi="Times New Roman" w:cs="Times New Roman" w:eastAsia="Times New Roman"/>
          <w:b w:val="0"/>
          <w:sz w:val="24"/>
        </w:rPr>
        <w:t>La premessa metodologica della relazione contiene l'esposizione più esplicita, fra quelle incontrate oggi, dei limiti strutturali dell'inchiesta parlamentare in questa materia. Poiché essa proviene dall'organo medesimo, va riportata nella sostanza.</w:t>
      </w:r>
    </w:p>
    <w:p>
      <w:pPr>
        <w:spacing w:line="276" w:lineRule="auto" w:after="120"/>
        <w:ind w:firstLine="425"/>
        <w:jc w:val="both"/>
      </w:pPr>
      <w:r>
        <w:rPr>
          <w:rFonts w:ascii="Times New Roman" w:hAnsi="Times New Roman" w:cs="Times New Roman" w:eastAsia="Times New Roman"/>
          <w:b w:val="0"/>
          <w:sz w:val="24"/>
        </w:rPr>
        <w:t>L'organo osserva che l'estensione e l'indeterminatezza dell'ambito temporale entro il quale l'inchiesta deve concludersi nuocciono tanto alla capacità di programmare le direttrici d'indagine quanto alla possibilità concreta, per i componenti, di avere piena conoscenza di tutte le acquisizioni intervenute in un arco che decorre dal millenovecentottantotto. Osserva che, ove il termine di un'inchiesta sopravanzi la scadenza di una legislatura, il ricambio spesso massiccio dei componenti determina a carico dei subentranti un vuoto di informazione difficile da colmare. Osserva che né la struttura burocratica né l'apparato dei consulenti esterni possono garantire quella continuità, poiché la segreteria mette a disposizione il materiale ma non esime dal percorso individuale di studio, e i consulenti sono soggetti a un ricambio analogo a quello dei parlamentari.</w:t>
      </w:r>
    </w:p>
    <w:p>
      <w:pPr>
        <w:spacing w:line="276" w:lineRule="auto" w:after="120"/>
        <w:ind w:firstLine="425"/>
        <w:jc w:val="both"/>
      </w:pPr>
      <w:r>
        <w:rPr>
          <w:rFonts w:ascii="Times New Roman" w:hAnsi="Times New Roman" w:cs="Times New Roman" w:eastAsia="Times New Roman"/>
          <w:b w:val="0"/>
          <w:sz w:val="24"/>
        </w:rPr>
        <w:t>Fin qui la relazione conferma, per bocca dell'organo, ciò che l'appendice settima aveva accertato per conteggio delle composizioni.</w:t>
      </w:r>
    </w:p>
    <w:p>
      <w:pPr>
        <w:spacing w:line="276" w:lineRule="auto" w:after="120"/>
        <w:ind w:firstLine="425"/>
        <w:jc w:val="both"/>
      </w:pPr>
      <w:r>
        <w:rPr>
          <w:rFonts w:ascii="Times New Roman" w:hAnsi="Times New Roman" w:cs="Times New Roman" w:eastAsia="Times New Roman"/>
          <w:b w:val="0"/>
          <w:sz w:val="24"/>
        </w:rPr>
        <w:t>L'organo aggiunge però un elemento che l'appendice settima non aveva, e che ne modifica la conclusione. I subentranti, osserva, si trovano dinanzi all'alternativa se prendere atto dei risultati delle pregresse attività di indagine ovvero contestarne la metodologia e gli esiti, anche sulla scorta di differenti valutazioni politiche; e qualifica quest'ultimo come un rischio tanto più frequente in fasi di accentuata instabilità degli schieramenti.</w:t>
      </w:r>
    </w:p>
    <w:p>
      <w:pPr>
        <w:spacing w:line="276" w:lineRule="auto" w:after="120"/>
        <w:ind w:firstLine="425"/>
        <w:jc w:val="both"/>
      </w:pPr>
      <w:r>
        <w:rPr>
          <w:rFonts w:ascii="Times New Roman" w:hAnsi="Times New Roman" w:cs="Times New Roman" w:eastAsia="Times New Roman"/>
          <w:b w:val="0"/>
          <w:sz w:val="24"/>
        </w:rPr>
        <w:t>La conseguenza per la disciplina delle fonti è di rilievo maggiore e va enunciata per intero. Una divergenza fra le conclusioni di due Commissioni successive sul medesimo oggetto non è necessariamente una divergenza di accertamento. Essa può essere una divergenza di valutazione politica su un medesimo materiale, e l'organo dichiara di ritenerla frequente. Ne segue che le conclusioni parlamentari successive non si leggono come strati di un accertamento progressivo, e che chi ne rilevasse una divergenza non potrebbe inferirne che nuovi elementi siano intervenuti.</w:t>
      </w:r>
    </w:p>
    <w:p>
      <w:pPr>
        <w:spacing w:line="276" w:lineRule="auto" w:after="120"/>
        <w:ind w:firstLine="425"/>
        <w:jc w:val="both"/>
      </w:pPr>
      <w:r>
        <w:rPr>
          <w:rFonts w:ascii="Times New Roman" w:hAnsi="Times New Roman" w:cs="Times New Roman" w:eastAsia="Times New Roman"/>
          <w:b w:val="0"/>
          <w:sz w:val="24"/>
        </w:rPr>
        <w:t>L'appendice settima aveva già negato che quelle conclusioni si sommino, fondandosi sul ricambio dei componenti. Qui la negazione si rafforza e cambia natura: non soltanto le conoscenze non si cumulano per difetto di memoria istituzionale, ma le conclusioni possono divergere per ragione estranea alla materia. Si registra la precisazione come rafforzamento e non come correzione.</w:t>
      </w:r>
    </w:p>
    <w:p>
      <w:pPr>
        <w:spacing w:line="276" w:lineRule="auto" w:after="120"/>
        <w:ind w:firstLine="425"/>
        <w:jc w:val="both"/>
      </w:pPr>
      <w:r>
        <w:rPr>
          <w:rFonts w:ascii="Times New Roman" w:hAnsi="Times New Roman" w:cs="Times New Roman" w:eastAsia="Times New Roman"/>
          <w:b w:val="0"/>
          <w:sz w:val="24"/>
        </w:rPr>
        <w:t>L'organo aggiunge infine un argomento di ordine costituzionale che va registrato perché appartiene al genere delle constatazioni che l'opera raccoglie: l'attribuzione a un organo di derivazione parlamentare degli stessi poteri dell'autorità giudiziaria trova il proprio naturale contrappeso nella previsione dei limiti cui l'attività giurisdizionale soggiace, e fra questi la durata certa dei poteri conferiti in via non ordinaria a un organo di derivazione politica.</w:t>
      </w:r>
    </w:p>
    <w:p>
      <w:pPr>
        <w:spacing w:line="276" w:lineRule="auto" w:after="120" w:before="240"/>
        <w:ind w:firstLine="0"/>
        <w:jc w:val="left"/>
      </w:pPr>
      <w:r>
        <w:rPr>
          <w:rFonts w:ascii="Times New Roman" w:hAnsi="Times New Roman" w:cs="Times New Roman" w:eastAsia="Times New Roman"/>
          <w:b/>
          <w:sz w:val="24"/>
        </w:rPr>
        <w:t>Parte terza — Una contaminazione dichiarata dentro l'archivio</w:t>
      </w:r>
    </w:p>
    <w:p>
      <w:pPr>
        <w:spacing w:line="276" w:lineRule="auto" w:after="120"/>
        <w:ind w:firstLine="425"/>
        <w:jc w:val="both"/>
      </w:pPr>
      <w:r>
        <w:rPr>
          <w:rFonts w:ascii="Times New Roman" w:hAnsi="Times New Roman" w:cs="Times New Roman" w:eastAsia="Times New Roman"/>
          <w:b w:val="0"/>
          <w:sz w:val="24"/>
        </w:rPr>
        <w:t>La relazione dedica un paragrafo, entro la trattazione di una delle inchieste, a una vicenda che va registrata perché è la sola incontrata oggi che riguardi l'affidabilità del materiale prodotto per la Commissione anziché di quello da essa acquisito.</w:t>
      </w:r>
    </w:p>
    <w:p>
      <w:pPr>
        <w:spacing w:line="276" w:lineRule="auto" w:after="120"/>
        <w:ind w:firstLine="425"/>
        <w:jc w:val="both"/>
      </w:pPr>
      <w:r>
        <w:rPr>
          <w:rFonts w:ascii="Times New Roman" w:hAnsi="Times New Roman" w:cs="Times New Roman" w:eastAsia="Times New Roman"/>
          <w:b w:val="0"/>
          <w:sz w:val="24"/>
        </w:rPr>
        <w:t>Il paragrafo è intitolato al passaggio da un sequestro al sospetto di infedeltà di alcune consulenze tecniche e alla revoca delle relative autorizzazioni.</w:t>
      </w:r>
    </w:p>
    <w:p>
      <w:pPr>
        <w:spacing w:line="276" w:lineRule="auto" w:after="120"/>
        <w:ind w:firstLine="425"/>
        <w:jc w:val="both"/>
      </w:pPr>
      <w:r>
        <w:rPr>
          <w:rFonts w:ascii="Times New Roman" w:hAnsi="Times New Roman" w:cs="Times New Roman" w:eastAsia="Times New Roman"/>
          <w:b w:val="0"/>
          <w:sz w:val="24"/>
        </w:rPr>
        <w:t>Si registra il solo fatto che l'intitolazione stabilisce, e non altro: che la Commissione nutrì sospetto di infedeltà quanto a talune consulenze tecniche e revocò le autorizzazioni relative. Il presente atto non riferisce di quali consulenze si trattasse, non nomina alcuno, e non riferisce l'esito del sospetto, che le fonti possedute non recano.</w:t>
      </w:r>
    </w:p>
    <w:p>
      <w:pPr>
        <w:spacing w:line="276" w:lineRule="auto" w:after="120"/>
        <w:ind w:firstLine="425"/>
        <w:jc w:val="both"/>
      </w:pPr>
      <w:r>
        <w:rPr>
          <w:rFonts w:ascii="Times New Roman" w:hAnsi="Times New Roman" w:cs="Times New Roman" w:eastAsia="Times New Roman"/>
          <w:b w:val="0"/>
          <w:sz w:val="24"/>
        </w:rPr>
        <w:t>La conseguenza per la disciplina delle fonti è però immediata e generale, e non dipende dall'esito. Gli elaborati di consulenza depositati presso un organo d'inchiesta non sono fonti acquisite: sono fonti prodotte per l'organo e sotto incarico dell'organo. Essi appartengono pertanto al genere che il repertorio dell'opera qualifica come produzione su commissione, e la loro genealogia risale non al fatto ma all'incarico. Ove risulti che un incarico fu revocato per sospetto di infedeltà, gli elaborati che ne discesero non perdono di per sé valore, ma non possono essere impiegati come catena indipendente rispetto alle altre consulenze rese sotto il medesimo incarico o nel medesimo procedimento.</w:t>
      </w:r>
    </w:p>
    <w:p>
      <w:pPr>
        <w:spacing w:line="276" w:lineRule="auto" w:after="120"/>
        <w:ind w:firstLine="425"/>
        <w:jc w:val="both"/>
      </w:pPr>
      <w:r>
        <w:rPr>
          <w:rFonts w:ascii="Times New Roman" w:hAnsi="Times New Roman" w:cs="Times New Roman" w:eastAsia="Times New Roman"/>
          <w:b w:val="0"/>
          <w:sz w:val="24"/>
        </w:rPr>
        <w:t>Si registra altresì la circostanza generale che ne discende e che vale per l'intero corpus maggiore: un archivio d'inchiesta contiene, accanto ai documenti acquisiti, documenti che esso stesso ha fatto produrre; e questi ultimi hanno una genealogia interna all'archivio. Chi li computi come fonti indipendenti computa come esterno ciò che l'archivio ha generato.</w:t>
      </w:r>
    </w:p>
    <w:p>
      <w:pPr>
        <w:spacing w:line="276" w:lineRule="auto" w:after="120"/>
        <w:ind w:firstLine="425"/>
        <w:jc w:val="both"/>
      </w:pPr>
      <w:r>
        <w:rPr>
          <w:rFonts w:ascii="Times New Roman" w:hAnsi="Times New Roman" w:cs="Times New Roman" w:eastAsia="Times New Roman"/>
          <w:b w:val="0"/>
          <w:sz w:val="24"/>
        </w:rPr>
        <w:t>Voce quarantanovesima — Gli elaborati di consulenza e la revoca delle autorizzazioni. Oggetto: l'elenco degli elaborati depositati dai consulenti presso la Commissione della XII legislatura, con l'indicazione dell'incarico che li generò; e gli atti relativi alla revoca delle autorizzazioni di cui al paragrafo richiamato. Sede: atti della Commissione della XII legislatura. Chiusura: reperimento dell'elenco e degli atti di revoca. Smentita: la constatazione che la revoca riguardasse consulenze estranee alle materie del corpus maggiore, nel qual caso la voce si chiuderebbe senza conseguenze sulla graduazione degli elaborati.</w:t>
      </w:r>
    </w:p>
    <w:p>
      <w:pPr>
        <w:spacing w:line="276" w:lineRule="auto" w:after="120" w:before="240"/>
        <w:ind w:firstLine="0"/>
        <w:jc w:val="left"/>
      </w:pPr>
      <w:r>
        <w:rPr>
          <w:rFonts w:ascii="Times New Roman" w:hAnsi="Times New Roman" w:cs="Times New Roman" w:eastAsia="Times New Roman"/>
          <w:b/>
          <w:sz w:val="24"/>
        </w:rPr>
        <w:t>Parte quarta — Il semestre, e ciò che non contiene</w:t>
      </w:r>
    </w:p>
    <w:p>
      <w:pPr>
        <w:spacing w:line="276" w:lineRule="auto" w:after="120"/>
        <w:ind w:firstLine="425"/>
        <w:jc w:val="both"/>
      </w:pPr>
      <w:r>
        <w:rPr>
          <w:rFonts w:ascii="Times New Roman" w:hAnsi="Times New Roman" w:cs="Times New Roman" w:eastAsia="Times New Roman"/>
          <w:b w:val="0"/>
          <w:sz w:val="24"/>
        </w:rPr>
        <w:t>L'elenco delle audizioni e degli incontri di studio del semestre comprende sedute dedicate allo stato della lotta al terrorismo, a un'organizzazione rivendicatrice, alle stragi e ai depistaggi, all'inchiesta sul disastro aereo, e a una vicenda criminale degli anni novanta; e comprende audizioni di un Ministro dell'interno, di un direttore del servizio informativo militare, di dirigenti di polizia, di ufficiali, di magistrati e di studiosi, oltre a incontri di lavoro con consulenti.</w:t>
      </w:r>
    </w:p>
    <w:p>
      <w:pPr>
        <w:spacing w:line="276" w:lineRule="auto" w:after="120"/>
        <w:ind w:firstLine="425"/>
        <w:jc w:val="both"/>
      </w:pPr>
      <w:r>
        <w:rPr>
          <w:rFonts w:ascii="Times New Roman" w:hAnsi="Times New Roman" w:cs="Times New Roman" w:eastAsia="Times New Roman"/>
          <w:b w:val="0"/>
          <w:sz w:val="24"/>
        </w:rPr>
        <w:t>Nessuna seduta del semestre è dedicata al caso.</w:t>
      </w:r>
    </w:p>
    <w:p>
      <w:pPr>
        <w:spacing w:line="276" w:lineRule="auto" w:after="120"/>
        <w:ind w:firstLine="425"/>
        <w:jc w:val="both"/>
      </w:pPr>
      <w:r>
        <w:rPr>
          <w:rFonts w:ascii="Times New Roman" w:hAnsi="Times New Roman" w:cs="Times New Roman" w:eastAsia="Times New Roman"/>
          <w:b w:val="0"/>
          <w:sz w:val="24"/>
        </w:rPr>
        <w:t>Si registra l'esito negativo. Gli atti individuati per seduta e per data in questa relazione appartengono al corpus maggiore e non all'opera, e vi si iscrivono per quella via. Si segnala fra essi, per il solo interesse di designazione, che tre sedute sono dedicate a stragi e depistaggi e una all'ultimo sviluppo dell'indagine su un attentato del millenovecentosessantanove: sono le uniche del semestre che tocchino materie contigue a quelle già censite dalle appendici anteriori.</w:t>
      </w:r>
    </w:p>
    <w:p>
      <w:pPr>
        <w:spacing w:line="276" w:lineRule="auto" w:after="120" w:before="240"/>
        <w:ind w:firstLine="0"/>
        <w:jc w:val="left"/>
      </w:pPr>
      <w:r>
        <w:rPr>
          <w:rFonts w:ascii="Times New Roman" w:hAnsi="Times New Roman" w:cs="Times New Roman" w:eastAsia="Times New Roman"/>
          <w:b/>
          <w:sz w:val="24"/>
        </w:rPr>
        <w:t>Parte quinta — La catena legislativa</w:t>
      </w:r>
    </w:p>
    <w:p>
      <w:pPr>
        <w:spacing w:line="276" w:lineRule="auto" w:after="120"/>
        <w:ind w:firstLine="425"/>
        <w:jc w:val="both"/>
      </w:pPr>
      <w:r>
        <w:rPr>
          <w:rFonts w:ascii="Times New Roman" w:hAnsi="Times New Roman" w:cs="Times New Roman" w:eastAsia="Times New Roman"/>
          <w:b w:val="0"/>
          <w:sz w:val="24"/>
        </w:rPr>
        <w:t>La relazione reca, nella propria intitolazione, la catena delle leggi che governano l'organo, e la si registra perché essa è uno strumento di designazione e non un dato formale.</w:t>
      </w:r>
    </w:p>
    <w:p>
      <w:pPr>
        <w:spacing w:line="276" w:lineRule="auto" w:after="120"/>
        <w:ind w:firstLine="425"/>
        <w:jc w:val="both"/>
      </w:pPr>
      <w:r>
        <w:rPr>
          <w:rFonts w:ascii="Times New Roman" w:hAnsi="Times New Roman" w:cs="Times New Roman" w:eastAsia="Times New Roman"/>
          <w:b w:val="0"/>
          <w:sz w:val="24"/>
        </w:rPr>
        <w:t>La Commissione è istituita con la legge del ventitré dicembre millenovecentonovantadue numero 499, la quale richiama la legge del diciassette maggio millenovecentottantotto numero 172 e le sue successive modificazioni; quella legge a sua volta assegna fra i propri oggetti, come l'appendice dodicesima ha accertato, l'integrazione delle conoscenze acquisite dalla Commissione istituita con la legge del ventitré novembre millenovecentosettantanove numero 597. Il termine dei lavori, fissato al trenta dicembre millenovecentonovantacinque, è prorogato di un anno con la legge del diciannove dicembre millenovecentonovantacinque numero 538.</w:t>
      </w:r>
    </w:p>
    <w:p>
      <w:pPr>
        <w:spacing w:line="276" w:lineRule="auto" w:after="120"/>
        <w:ind w:firstLine="425"/>
        <w:jc w:val="both"/>
      </w:pPr>
      <w:r>
        <w:rPr>
          <w:rFonts w:ascii="Times New Roman" w:hAnsi="Times New Roman" w:cs="Times New Roman" w:eastAsia="Times New Roman"/>
          <w:b w:val="0"/>
          <w:sz w:val="24"/>
        </w:rPr>
        <w:t>Quattro leggi in tredici anni, ciascuna delle quali richiama la precedente. Ne segue che le tre Commissioni non sono tre organi distinti che si occuparono per caso della medesima materia, ma un solo mandato rinnovato per rinvio legislativo. Ne segue altresì che la designazione di una fonte come atto di una Commissione va accompagnata dall'indicazione della legge sotto la quale l'organo operava, poiché l'oggetto del mandato mutò per legge almeno una volta, nel giugno millenovecentonovantuno.</w:t>
      </w:r>
    </w:p>
    <w:p>
      <w:pPr>
        <w:spacing w:line="276" w:lineRule="auto" w:after="120" w:before="240"/>
        <w:ind w:firstLine="0"/>
        <w:jc w:val="left"/>
      </w:pPr>
      <w:r>
        <w:rPr>
          <w:rFonts w:ascii="Times New Roman" w:hAnsi="Times New Roman" w:cs="Times New Roman" w:eastAsia="Times New Roman"/>
          <w:b/>
          <w:sz w:val="24"/>
        </w:rPr>
        <w:t>Parte sesta — Mutazioni di stato e Stati Zero</w:t>
      </w:r>
    </w:p>
    <w:p>
      <w:pPr>
        <w:spacing w:line="276" w:lineRule="auto" w:after="120"/>
        <w:ind w:firstLine="425"/>
        <w:jc w:val="both"/>
      </w:pPr>
      <w:r>
        <w:rPr>
          <w:rFonts w:ascii="Times New Roman" w:hAnsi="Times New Roman" w:cs="Times New Roman" w:eastAsia="Times New Roman"/>
          <w:b w:val="0"/>
          <w:sz w:val="24"/>
        </w:rPr>
        <w:t>Si iscrive la Voce quarantanovesima. Si enuncia la diciottesima regola della risalita. Si dispone che ogni citazione di documento d'inchiesta rechi l'indicazione del proprio stato deliberativo. Si registra il rafforzamento della conclusione dell'appendice settima quanto alla non cumulabilità delle conclusioni parlamentari successive. Nessun grado di alcuna proposizione dell'opera muta.</w:t>
      </w:r>
    </w:p>
    <w:p>
      <w:pPr>
        <w:spacing w:line="276" w:lineRule="auto" w:after="120"/>
        <w:ind w:firstLine="425"/>
        <w:jc w:val="both"/>
      </w:pPr>
      <w:r>
        <w:rPr>
          <w:rFonts w:ascii="Times New Roman" w:hAnsi="Times New Roman" w:cs="Times New Roman" w:eastAsia="Times New Roman"/>
          <w:b w:val="0"/>
          <w:sz w:val="24"/>
        </w:rPr>
        <w:t>Si dichiarano gli Stati Zero. Primo: la proposta di relazione finale della XII legislatura, depositata e non discussa, non è posseduta; e non è accertato se essa contenesse trattazione del caso. Secondo: il capitolo stralciato non è posseduto e non è accertato se dello stralcio esista atto motivato. Terzo: gli atti relativi alla revoca delle autorizzazioni non sono posseduti. Quarto: la relazione conclusiva della XII legislatura non risulta essere stata approvata, e il presente atto non accerta se una relazione conclusiva di quella legislatura esista.</w:t>
      </w:r>
    </w:p>
    <w:p>
      <w:pPr>
        <w:spacing w:line="276" w:lineRule="auto" w:after="120"/>
        <w:ind w:firstLine="425"/>
        <w:jc w:val="both"/>
      </w:pPr>
      <w:r>
        <w:rPr>
          <w:rFonts w:ascii="Times New Roman" w:hAnsi="Times New Roman" w:cs="Times New Roman" w:eastAsia="Times New Roman"/>
          <w:b w:val="0"/>
          <w:sz w:val="24"/>
        </w:rPr>
        <w:t>Si osservi che il quarto Stato Zero, ove confermato, chiuderebbe negativamente una ricerca aperta dall'appendice settima: essa aveva spostato la verifica sull'esecuzione della raccomandazione relativa al repertorio del Gabinetto verso gli indici di acquisizione e la relazione conclusiva della XII legislatura. Se quella relazione non fu approvata, resta il solo primo termine.</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tredicesima del giorno sul medesimo cantiere. Cantiere: designazione per atto delle fonti. Materia: la terza relazione semestrale della XII legislatura, con la quale quella Commissione chiude i propri lavori.</w:t>
      </w:r>
    </w:p>
    <w:p>
      <w:pPr>
        <w:spacing w:line="276" w:lineRule="auto" w:after="120"/>
        <w:ind w:firstLine="425"/>
        <w:jc w:val="both"/>
      </w:pPr>
      <w:r>
        <w:rPr>
          <w:rFonts w:ascii="Times New Roman" w:hAnsi="Times New Roman" w:cs="Times New Roman" w:eastAsia="Times New Roman"/>
          <w:b w:val="0"/>
          <w:sz w:val="24"/>
        </w:rPr>
        <w:t>Esito positivo: accertamento che la proposta di relazione finale fu depositata, non posta in discussione e amputata di un capitolo, con enunciazione della diciottesima regola della risalita e disposizione sull'indicazione dello stato deliberativo; acquisizione della teorizzazione, da parte dell'organo medesimo, della discontinuità di memoria istituzionale, con l'aggiunta decisiva che le divergenze fra Commissioni successive possono avere causa politica anziché istruttoria; registrazione della revoca di autorizzazioni a consulenze per sospetto di infedeltà, con la conseguente disciplina sugli elaborati prodotti su incarico dell'organo; ricostruzione della catena delle quattro leggi che governano il mandato dal millenovecentosettantanove al millenovecentonovantasei; una voce nuova iscritta in tavola.</w:t>
      </w:r>
    </w:p>
    <w:p>
      <w:pPr>
        <w:spacing w:line="276" w:lineRule="auto" w:after="120"/>
        <w:ind w:firstLine="425"/>
        <w:jc w:val="both"/>
      </w:pPr>
      <w:r>
        <w:rPr>
          <w:rFonts w:ascii="Times New Roman" w:hAnsi="Times New Roman" w:cs="Times New Roman" w:eastAsia="Times New Roman"/>
          <w:b w:val="0"/>
          <w:sz w:val="24"/>
        </w:rPr>
        <w:t>Esito negativo: nessuna seduta del semestre è dedicata al caso; la proposta di relazione non è posseduta; il capitolo stralciato non è posseduto; gli atti di revoca non sono posseduti; non risulta che la XII legislatura abbia approvato una relazione conclusiva, il che restringe negativamente una ricerca aperta dall'appendice settima.</w:t>
      </w:r>
    </w:p>
    <w:p>
      <w:pPr>
        <w:spacing w:line="276" w:lineRule="auto" w:after="120"/>
        <w:ind w:firstLine="425"/>
        <w:jc w:val="both"/>
      </w:pPr>
      <w:r>
        <w:rPr>
          <w:rFonts w:ascii="Times New Roman" w:hAnsi="Times New Roman" w:cs="Times New Roman" w:eastAsia="Times New Roman"/>
          <w:b w:val="0"/>
          <w:sz w:val="24"/>
        </w:rPr>
        <w:t>Riga di rafforzamento. Si registra che una conclusione dell'appendice settima — la non cumulabilità delle conclusioni parlamentari successive — è qui confermata dalla fonte e insieme fondata su una causa che l'appendice settima non conosceva. Un rafforzamento di questa specie vale quanto una correzione, poiché una conclusione esatta per la ragione sbagliata è esposta a cadere insieme alla ragione.</w:t>
      </w:r>
    </w:p>
    <w:p>
      <w:pPr>
        <w:spacing w:line="276" w:lineRule="auto" w:after="120"/>
        <w:ind w:firstLine="425"/>
        <w:jc w:val="both"/>
      </w:pPr>
      <w:r>
        <w:rPr>
          <w:rFonts w:ascii="Times New Roman" w:hAnsi="Times New Roman" w:cs="Times New Roman" w:eastAsia="Times New Roman"/>
          <w:b w:val="0"/>
          <w:sz w:val="24"/>
        </w:rPr>
        <w:t>Riga di avvertenza. Il presente atto non riferisce il merito di alcuna delle inchieste menzionate, non nomina alcuna delle persone che compaiono nell'elenco delle sedute, e in particolare non riferisce a quali consulenze si riferisse il sospetto di infedeltà né quale ne fu l'esito, che le fonti possedute non recano. La registrazione di quel sospetto è fatta ai soli fini della disciplina di graduazione degli elaborati prodotti su incarico, e non implica alcun giudizio su alcuno.</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QUINDICESIMA ALLA FASE SETTIMA, la relazione che non fu discussa, quindici agosto duemilaventisei. I settanta Capitoli restano settanta. Le redazioni anteriori non sono modificate: le pietre deposte non si scalpellano. Resta sovrana la Regola di Ferro: dove la fonte documenta, l'opera certifica; dove la fonte tace, l'opera indaga e non afferma. Una proposta depositata e non discussa non è una relazione, e le fonti si designano per lo stato deliberativo che hanno raggiunto.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