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120"/>
        <w:ind w:firstLine="0"/>
        <w:jc w:val="center"/>
      </w:pPr>
      <w:r>
        <w:rPr>
          <w:rFonts w:ascii="Times New Roman" w:hAnsi="Times New Roman" w:cs="Times New Roman" w:eastAsia="Times New Roman"/>
          <w:b/>
          <w:sz w:val="24"/>
        </w:rPr>
        <w:t>ALDO MORO</w:t>
      </w:r>
    </w:p>
    <w:p>
      <w:pPr>
        <w:spacing w:line="276" w:lineRule="auto" w:after="120"/>
        <w:ind w:firstLine="0"/>
        <w:jc w:val="center"/>
      </w:pPr>
      <w:r>
        <w:rPr>
          <w:rFonts w:ascii="Times New Roman" w:hAnsi="Times New Roman" w:cs="Times New Roman" w:eastAsia="Times New Roman"/>
          <w:b/>
          <w:sz w:val="24"/>
        </w:rPr>
        <w:t>IL REGISTRO DEI CINQUANTACINQUE GIORNI</w:t>
      </w:r>
    </w:p>
    <w:p>
      <w:pPr>
        <w:spacing w:line="276" w:lineRule="auto" w:after="120"/>
        <w:ind w:firstLine="0"/>
        <w:jc w:val="center"/>
      </w:pPr>
      <w:r>
        <w:rPr>
          <w:rFonts w:ascii="Times New Roman" w:hAnsi="Times New Roman" w:cs="Times New Roman" w:eastAsia="Times New Roman"/>
          <w:b/>
          <w:sz w:val="24"/>
        </w:rPr>
        <w:t>APPENDICE DECIMA ALLA FASE SETTIMA</w:t>
      </w:r>
    </w:p>
    <w:p>
      <w:pPr>
        <w:spacing w:line="276" w:lineRule="auto" w:after="120"/>
        <w:ind w:firstLine="0"/>
        <w:jc w:val="center"/>
      </w:pPr>
      <w:r>
        <w:rPr>
          <w:rFonts w:ascii="Times New Roman" w:hAnsi="Times New Roman" w:cs="Times New Roman" w:eastAsia="Times New Roman"/>
          <w:b/>
          <w:sz w:val="24"/>
        </w:rPr>
        <w:t>La serie di acquisizione, e chi attribuisce le chiavi</w:t>
      </w:r>
    </w:p>
    <w:p>
      <w:pPr>
        <w:spacing w:line="276" w:lineRule="auto" w:after="120"/>
        <w:ind w:firstLine="0"/>
        <w:jc w:val="center"/>
      </w:pPr>
      <w:r>
        <w:rPr>
          <w:rFonts w:ascii="Times New Roman" w:hAnsi="Times New Roman" w:cs="Times New Roman" w:eastAsia="Times New Roman"/>
          <w:b/>
          <w:sz w:val="24"/>
        </w:rPr>
        <w:t>Esecuzione della Voce ventiseiesima su quattrocentoquarantaquattro voci</w:t>
      </w:r>
    </w:p>
    <w:p>
      <w:pPr>
        <w:spacing w:line="276" w:lineRule="auto" w:after="120"/>
        <w:ind w:firstLine="0"/>
        <w:jc w:val="center"/>
      </w:pPr>
      <w:r>
        <w:rPr>
          <w:rFonts w:ascii="Times New Roman" w:hAnsi="Times New Roman" w:cs="Times New Roman" w:eastAsia="Times New Roman"/>
          <w:b/>
          <w:sz w:val="24"/>
        </w:rPr>
        <w:t>Luigi De Michele</w:t>
      </w:r>
    </w:p>
    <w:p>
      <w:pPr>
        <w:spacing w:line="276" w:lineRule="auto" w:after="120"/>
        <w:ind w:firstLine="0"/>
        <w:jc w:val="center"/>
      </w:pPr>
      <w:r>
        <w:rPr>
          <w:rFonts w:ascii="Times New Roman" w:hAnsi="Times New Roman" w:cs="Times New Roman" w:eastAsia="Times New Roman"/>
          <w:b/>
          <w:sz w:val="24"/>
        </w:rPr>
        <w:t>15 agosto 2026</w:t>
      </w:r>
    </w:p>
    <w:p>
      <w:pPr>
        <w:spacing w:line="276" w:lineRule="auto" w:after="120" w:before="240"/>
        <w:ind w:firstLine="0"/>
        <w:jc w:val="left"/>
      </w:pPr>
      <w:r>
        <w:rPr>
          <w:rFonts w:ascii="Times New Roman" w:hAnsi="Times New Roman" w:cs="Times New Roman" w:eastAsia="Times New Roman"/>
          <w:b/>
          <w:sz w:val="24"/>
        </w:rPr>
        <w:t>Atto di edizione dell'appendice decima</w:t>
      </w:r>
    </w:p>
    <w:p>
      <w:pPr>
        <w:spacing w:line="276" w:lineRule="auto" w:after="120"/>
        <w:ind w:firstLine="425"/>
        <w:jc w:val="both"/>
      </w:pPr>
      <w:r>
        <w:rPr>
          <w:rFonts w:ascii="Times New Roman" w:hAnsi="Times New Roman" w:cs="Times New Roman" w:eastAsia="Times New Roman"/>
          <w:b w:val="0"/>
          <w:sz w:val="24"/>
        </w:rPr>
        <w:t>La presente è appendice decima alla Fase Settima ed esegue la Voce ventiseiesima, iscritta dall'appendice quinta, la quale prescrive la verifica di reciprocità dei rinvii per accertare quante catalogazioni multiple non siano dichiarate. Come le nove anteriori, essa non modifica alcun Capitolo: i settanta restano settanta.</w:t>
      </w:r>
    </w:p>
    <w:p>
      <w:pPr>
        <w:spacing w:line="276" w:lineRule="auto" w:after="120"/>
        <w:ind w:firstLine="425"/>
        <w:jc w:val="both"/>
      </w:pPr>
      <w:r>
        <w:rPr>
          <w:rFonts w:ascii="Times New Roman" w:hAnsi="Times New Roman" w:cs="Times New Roman" w:eastAsia="Times New Roman"/>
          <w:b w:val="0"/>
          <w:sz w:val="24"/>
        </w:rPr>
        <w:t>L'unità è la medesima già impiegata dall'appendice terza, e la novità sta nel modo di leggerla. L'appendice terza estrasse dai processi verbali le sole voci recanti la chiave del fascicolo del caso, e ne trasse ventinove unità. La presente le legge come ciò che sono: una serie di acquisizione completa, nella quale ogni voce reca tutte le chiavi che le furono assegnate al momento dell'ingresso. Il medesimo materiale, interrogato con un'altra domanda, produce un altro risultato.</w:t>
      </w:r>
    </w:p>
    <w:p>
      <w:pPr>
        <w:spacing w:line="276" w:lineRule="auto" w:after="120"/>
        <w:ind w:firstLine="425"/>
        <w:jc w:val="both"/>
      </w:pPr>
      <w:r>
        <w:rPr>
          <w:rFonts w:ascii="Times New Roman" w:hAnsi="Times New Roman" w:cs="Times New Roman" w:eastAsia="Times New Roman"/>
          <w:b w:val="0"/>
          <w:sz w:val="24"/>
        </w:rPr>
        <w:t>Si registri la circostanza come regola di condotta e non come merito: un fondo già impiegato non è un fondo esaurito, e la seconda interrogazione di un materiale posseduto costa meno di ogni acquisizione nuova. È la terza volta nella giornata che il posseduto rende più del cercato.</w:t>
      </w:r>
    </w:p>
    <w:p>
      <w:pPr>
        <w:spacing w:line="276" w:lineRule="auto" w:after="120" w:before="240"/>
        <w:ind w:firstLine="0"/>
        <w:jc w:val="left"/>
      </w:pPr>
      <w:r>
        <w:rPr>
          <w:rFonts w:ascii="Times New Roman" w:hAnsi="Times New Roman" w:cs="Times New Roman" w:eastAsia="Times New Roman"/>
          <w:b/>
          <w:sz w:val="24"/>
        </w:rPr>
        <w:t>Parte prima — La procedura, e il difetto del proprio strumento</w:t>
      </w:r>
    </w:p>
    <w:p>
      <w:pPr>
        <w:spacing w:line="276" w:lineRule="auto" w:after="120"/>
        <w:ind w:firstLine="425"/>
        <w:jc w:val="both"/>
      </w:pPr>
      <w:r>
        <w:rPr>
          <w:rFonts w:ascii="Times New Roman" w:hAnsi="Times New Roman" w:cs="Times New Roman" w:eastAsia="Times New Roman"/>
          <w:b w:val="0"/>
          <w:sz w:val="24"/>
        </w:rPr>
        <w:t>La procedura è la seguente. Sono stati esaminati duecentosedici documenti recanti l'intitolazione di processo verbale; da ciascuno sono state estratte le voci di acquisizione riconoscibili per la presenza di almeno una chiave di catalogo in forma parentetica; le voci duplicate sono state ridotte a una. Restano quattrocentoquarantaquattro voci uniche.</w:t>
      </w:r>
    </w:p>
    <w:p>
      <w:pPr>
        <w:spacing w:line="276" w:lineRule="auto" w:after="120"/>
        <w:ind w:firstLine="425"/>
        <w:jc w:val="both"/>
      </w:pPr>
      <w:r>
        <w:rPr>
          <w:rFonts w:ascii="Times New Roman" w:hAnsi="Times New Roman" w:cs="Times New Roman" w:eastAsia="Times New Roman"/>
          <w:b w:val="0"/>
          <w:sz w:val="24"/>
        </w:rPr>
        <w:t>Si dichiara un difetto dello strumento impiegato, poiché la disciplina lo impone e poiché esso incide su una delle cifre esposte. L'espressione di ricerca costruita per riconoscere le chiavi ha, in un numero limitato di voci, congiunto in una sola stringa due chiavi consecutive, producendo denominazioni inesistenti. Il difetto è stato rilevato leggendo a mano l'elenco delle denominazioni ottenute, e non sarebbe stato rilevabile da alcuna misura statistica, poiché lo strumento sbagliava in modo stabile.</w:t>
      </w:r>
    </w:p>
    <w:p>
      <w:pPr>
        <w:spacing w:line="276" w:lineRule="auto" w:after="120"/>
        <w:ind w:firstLine="425"/>
        <w:jc w:val="both"/>
      </w:pPr>
      <w:r>
        <w:rPr>
          <w:rFonts w:ascii="Times New Roman" w:hAnsi="Times New Roman" w:cs="Times New Roman" w:eastAsia="Times New Roman"/>
          <w:b w:val="0"/>
          <w:sz w:val="24"/>
        </w:rPr>
        <w:t>È l'ottava volta nella giornata che la lettura a mano di un piccolo campione rileva ciò che la misura larga non rilevava, ed è il medesimo meccanismo registrato in campagna come quarto errore proprio. Si registra qui che la regola tratta da quell'errore ha, questa volta, funzionato: essa è stata applicata prima della pubblicazione della cifra e non dopo.</w:t>
      </w:r>
    </w:p>
    <w:p>
      <w:pPr>
        <w:spacing w:line="276" w:lineRule="auto" w:after="120"/>
        <w:ind w:firstLine="425"/>
        <w:jc w:val="both"/>
      </w:pPr>
      <w:r>
        <w:rPr>
          <w:rFonts w:ascii="Times New Roman" w:hAnsi="Times New Roman" w:cs="Times New Roman" w:eastAsia="Times New Roman"/>
          <w:b w:val="0"/>
          <w:sz w:val="24"/>
        </w:rPr>
        <w:t>La conseguenza è che la cifra delle denominazioni distinte, esposta alla Parte quarta, è dichiarata come approssimazione per eccesso e non come misura.</w:t>
      </w:r>
    </w:p>
    <w:p>
      <w:pPr>
        <w:spacing w:line="276" w:lineRule="auto" w:after="120" w:before="240"/>
        <w:ind w:firstLine="0"/>
        <w:jc w:val="left"/>
      </w:pPr>
      <w:r>
        <w:rPr>
          <w:rFonts w:ascii="Times New Roman" w:hAnsi="Times New Roman" w:cs="Times New Roman" w:eastAsia="Times New Roman"/>
          <w:b/>
          <w:sz w:val="24"/>
        </w:rPr>
        <w:t>Parte seconda — La misura della catalogazione multipla</w:t>
      </w:r>
    </w:p>
    <w:p>
      <w:pPr>
        <w:spacing w:line="276" w:lineRule="auto" w:after="120"/>
        <w:ind w:firstLine="425"/>
        <w:jc w:val="both"/>
      </w:pPr>
      <w:r>
        <w:rPr>
          <w:rFonts w:ascii="Times New Roman" w:hAnsi="Times New Roman" w:cs="Times New Roman" w:eastAsia="Times New Roman"/>
          <w:b w:val="0"/>
          <w:sz w:val="24"/>
        </w:rPr>
        <w:t>Delle quattrocentoquarantaquattro voci, trecentottantasette recano una sola chiave, trentacinque ne recano due, venti ne recano tre, una ne reca quattro e una ne reca cinque.</w:t>
      </w:r>
    </w:p>
    <w:p>
      <w:pPr>
        <w:spacing w:line="276" w:lineRule="auto" w:after="120"/>
        <w:ind w:firstLine="425"/>
        <w:jc w:val="both"/>
      </w:pPr>
      <w:r>
        <w:rPr>
          <w:rFonts w:ascii="Times New Roman" w:hAnsi="Times New Roman" w:cs="Times New Roman" w:eastAsia="Times New Roman"/>
          <w:b w:val="0"/>
          <w:sz w:val="24"/>
        </w:rPr>
        <w:t>Cinquantasette voci su quattrocentoquarantaquattro recano dunque più di una chiave, ed è poco meno di un ottavo della serie.</w:t>
      </w:r>
    </w:p>
    <w:p>
      <w:pPr>
        <w:spacing w:line="276" w:lineRule="auto" w:after="120"/>
        <w:ind w:firstLine="425"/>
        <w:jc w:val="both"/>
      </w:pPr>
      <w:r>
        <w:rPr>
          <w:rFonts w:ascii="Times New Roman" w:hAnsi="Times New Roman" w:cs="Times New Roman" w:eastAsia="Times New Roman"/>
          <w:b w:val="0"/>
          <w:sz w:val="24"/>
        </w:rPr>
        <w:t>La voce a cinque chiavi appartiene alla settantaduesima seduta e concerne atti di un procedimento penale trasmessi da un ufficio giudiziario, comprendenti la trascrizione di una registrazione e il verbale di una deposizione resa nel dicembre millenovecentonovanta. Un solo invio, un solo fascicolo di provenienza, cinque indirizzi.</w:t>
      </w:r>
    </w:p>
    <w:p>
      <w:pPr>
        <w:spacing w:line="276" w:lineRule="auto" w:after="120"/>
        <w:ind w:firstLine="425"/>
        <w:jc w:val="both"/>
      </w:pPr>
      <w:r>
        <w:rPr>
          <w:rFonts w:ascii="Times New Roman" w:hAnsi="Times New Roman" w:cs="Times New Roman" w:eastAsia="Times New Roman"/>
          <w:b w:val="0"/>
          <w:sz w:val="24"/>
        </w:rPr>
        <w:t>Si osservi che questa è, a differenza di quella esposta dall'appendice quinta, una catalogazione multipla dichiarata nel medesimo atto che registra l'acquisizione: le cinque chiavi compaiono insieme, di seguito, nella stessa voce. Chi legga il verbale non può ignorare che si tratta di un atto solo. Chi legga i cinque fascicoli separatamente lo ignorerà in ciascuno di essi.</w:t>
      </w:r>
    </w:p>
    <w:p>
      <w:pPr>
        <w:spacing w:line="276" w:lineRule="auto" w:after="120" w:before="240"/>
        <w:ind w:firstLine="0"/>
        <w:jc w:val="left"/>
      </w:pPr>
      <w:r>
        <w:rPr>
          <w:rFonts w:ascii="Times New Roman" w:hAnsi="Times New Roman" w:cs="Times New Roman" w:eastAsia="Times New Roman"/>
          <w:b/>
          <w:sz w:val="24"/>
        </w:rPr>
        <w:t>Parte terza — Chi attribuisce le chiavi, e quando</w:t>
      </w:r>
    </w:p>
    <w:p>
      <w:pPr>
        <w:spacing w:line="276" w:lineRule="auto" w:after="120"/>
        <w:ind w:firstLine="425"/>
        <w:jc w:val="both"/>
      </w:pPr>
      <w:r>
        <w:rPr>
          <w:rFonts w:ascii="Times New Roman" w:hAnsi="Times New Roman" w:cs="Times New Roman" w:eastAsia="Times New Roman"/>
          <w:b w:val="0"/>
          <w:sz w:val="24"/>
        </w:rPr>
        <w:t>La misura qui ottenuta va accostata a quella dell'appendice quinta, e l'accostamento produce il risultato principale del presente atto.</w:t>
      </w:r>
    </w:p>
    <w:p>
      <w:pPr>
        <w:spacing w:line="276" w:lineRule="auto" w:after="120"/>
        <w:ind w:firstLine="425"/>
        <w:jc w:val="both"/>
      </w:pPr>
      <w:r>
        <w:rPr>
          <w:rFonts w:ascii="Times New Roman" w:hAnsi="Times New Roman" w:cs="Times New Roman" w:eastAsia="Times New Roman"/>
          <w:b w:val="0"/>
          <w:sz w:val="24"/>
        </w:rPr>
        <w:t>L'appendice quinta ha contato, sull'indice di acquisizione del fascicolo del caso, quattordici unità su cinquanta recanti rinvio ad altro fascicolo. La presente conta, sui processi verbali della medesima serie, quattro sole voci del medesimo fascicolo recanti più di una chiave. Le quattro sono comprese fra le quattordici.</w:t>
      </w:r>
    </w:p>
    <w:p>
      <w:pPr>
        <w:spacing w:line="276" w:lineRule="auto" w:after="120"/>
        <w:ind w:firstLine="425"/>
        <w:jc w:val="both"/>
      </w:pPr>
      <w:r>
        <w:rPr>
          <w:rFonts w:ascii="Times New Roman" w:hAnsi="Times New Roman" w:cs="Times New Roman" w:eastAsia="Times New Roman"/>
          <w:b w:val="0"/>
          <w:sz w:val="24"/>
        </w:rPr>
        <w:t>Quattordici e quattro non si contraddicono: misurano due momenti diversi. Il processo verbale registra le chiavi assegnate all'ingresso dell'atto. L'indice di acquisizione è compilato in seguito, a fascicolo formato, e reca i rinvii che il compilatore ha riconosciuti allora, compresi quelli che al momento dell'ingresso non erano stati apposti.</w:t>
      </w:r>
    </w:p>
    <w:p>
      <w:pPr>
        <w:spacing w:line="276" w:lineRule="auto" w:after="120"/>
        <w:ind w:firstLine="425"/>
        <w:jc w:val="both"/>
      </w:pPr>
      <w:r>
        <w:rPr>
          <w:rFonts w:ascii="Times New Roman" w:hAnsi="Times New Roman" w:cs="Times New Roman" w:eastAsia="Times New Roman"/>
          <w:b w:val="0"/>
          <w:sz w:val="24"/>
        </w:rPr>
        <w:t>Ne segue che la catalogazione multipla, in questa serie, è in prevalenza attribuzione successiva del compilatore dell'indice e non proprietà dell'acquisizione. Dieci dei quattordici rinvii del fascicolo del caso sono stati riconosciuti dopo, e non risultano dagli atti che registrano l'ingresso dei documenti.</w:t>
      </w:r>
    </w:p>
    <w:p>
      <w:pPr>
        <w:spacing w:line="276" w:lineRule="auto" w:after="120"/>
        <w:ind w:firstLine="425"/>
        <w:jc w:val="both"/>
      </w:pPr>
      <w:r>
        <w:rPr>
          <w:rFonts w:ascii="Times New Roman" w:hAnsi="Times New Roman" w:cs="Times New Roman" w:eastAsia="Times New Roman"/>
          <w:b w:val="0"/>
          <w:sz w:val="24"/>
        </w:rPr>
        <w:t>La conseguenza operativa è duplice e va enunciata per intero, poiché essa corregge in un punto l'appendice terza e in un altro l'appendice quinta.</w:t>
      </w:r>
    </w:p>
    <w:p>
      <w:pPr>
        <w:spacing w:line="276" w:lineRule="auto" w:after="120"/>
        <w:ind w:firstLine="425"/>
        <w:jc w:val="both"/>
      </w:pPr>
      <w:r>
        <w:rPr>
          <w:rFonts w:ascii="Times New Roman" w:hAnsi="Times New Roman" w:cs="Times New Roman" w:eastAsia="Times New Roman"/>
          <w:b w:val="0"/>
          <w:sz w:val="24"/>
        </w:rPr>
        <w:t>Corregge l'appendice terza, la quale ha assunto il processo verbale come fonte autoritativa per la designazione delle unità. Esso lo è quanto all'atto, alla data e all'ufficio emittente, perché è contemporaneo all'ingresso; non lo è quanto ai rinvii, perché ne reca soltanto quelli apposti in quel momento. Per la rilevazione delle catalogazioni multiple l'indice è strumento superiore al verbale, e l'appendice terza aveva impiegato lo strumento inferiore.</w:t>
      </w:r>
    </w:p>
    <w:p>
      <w:pPr>
        <w:spacing w:line="276" w:lineRule="auto" w:after="120"/>
        <w:ind w:firstLine="425"/>
        <w:jc w:val="both"/>
      </w:pPr>
      <w:r>
        <w:rPr>
          <w:rFonts w:ascii="Times New Roman" w:hAnsi="Times New Roman" w:cs="Times New Roman" w:eastAsia="Times New Roman"/>
          <w:b w:val="0"/>
          <w:sz w:val="24"/>
        </w:rPr>
        <w:t>Corregge l'appendice quinta, la quale ha letto il rapporto di quattordici su cinquanta come proprietà del fondo e lo ha dichiarato soglia perché i rinvii sono apposti dove il compilatore li ha notati. La diagnosi era esatta e ne mancava la causa: i rinvii sono apposti dove il compilatore li ha notati, e il compilatore è persona diversa e successiva rispetto a chi registrò l'acquisizione. La soglia non dipende dalla disattenzione di chi acquisisce ma dalla diligenza di chi compila, e sono due grandezze indipendenti.</w:t>
      </w:r>
    </w:p>
    <w:p>
      <w:pPr>
        <w:spacing w:line="276" w:lineRule="auto" w:after="120"/>
        <w:ind w:firstLine="425"/>
        <w:jc w:val="both"/>
      </w:pPr>
      <w:r>
        <w:rPr>
          <w:rFonts w:ascii="Times New Roman" w:hAnsi="Times New Roman" w:cs="Times New Roman" w:eastAsia="Times New Roman"/>
          <w:b w:val="0"/>
          <w:sz w:val="24"/>
        </w:rPr>
        <w:t>Si enuncia la regola che ne discende, ed è la quattordicesima della serie.</w:t>
      </w:r>
    </w:p>
    <w:p>
      <w:pPr>
        <w:spacing w:line="276" w:lineRule="auto" w:after="120"/>
        <w:ind w:firstLine="425"/>
        <w:jc w:val="both"/>
      </w:pPr>
      <w:r>
        <w:rPr>
          <w:rFonts w:ascii="Times New Roman" w:hAnsi="Times New Roman" w:cs="Times New Roman" w:eastAsia="Times New Roman"/>
          <w:b w:val="0"/>
          <w:sz w:val="24"/>
        </w:rPr>
        <w:t>Quattordicesima regola della risalita. In un sistema a chiavi multiple, il momento nel quale una chiave è apposta determina che cosa essa possa attestare. Le chiavi apposte all'ingresso attestano come l'atto fu classificato da chi lo ricevette; quelle apposte in sede di compilazione attestano come fu riconosciuto da chi ordinò il fondo. Un computo di catalogazione multipla condotto su una sola delle due fonti misura uno solo dei due momenti, e va dichiarato tale.</w:t>
      </w:r>
    </w:p>
    <w:p>
      <w:pPr>
        <w:spacing w:line="276" w:lineRule="auto" w:after="120" w:before="240"/>
        <w:ind w:firstLine="0"/>
        <w:jc w:val="left"/>
      </w:pPr>
      <w:r>
        <w:rPr>
          <w:rFonts w:ascii="Times New Roman" w:hAnsi="Times New Roman" w:cs="Times New Roman" w:eastAsia="Times New Roman"/>
          <w:b/>
          <w:sz w:val="24"/>
        </w:rPr>
        <w:t>Parte quarta — La varianza delle denominazioni</w:t>
      </w:r>
    </w:p>
    <w:p>
      <w:pPr>
        <w:spacing w:line="276" w:lineRule="auto" w:after="120"/>
        <w:ind w:firstLine="425"/>
        <w:jc w:val="both"/>
      </w:pPr>
      <w:r>
        <w:rPr>
          <w:rFonts w:ascii="Times New Roman" w:hAnsi="Times New Roman" w:cs="Times New Roman" w:eastAsia="Times New Roman"/>
          <w:b w:val="0"/>
          <w:sz w:val="24"/>
        </w:rPr>
        <w:t>Le stringhe distinte impiegate come denominazione di fascicolo nella serie sono cinquantaquattro. La cifra è, per il difetto di strumento dichiarato alla Parte prima, un'approssimazione per eccesso, e il numero dei fascicoli realmente distinti è inferiore. La sua determinazione esatta richiede la lettura manuale delle quattrocentoquarantaquattro voci e non è stata compiuta.</w:t>
      </w:r>
    </w:p>
    <w:p>
      <w:pPr>
        <w:spacing w:line="276" w:lineRule="auto" w:after="120"/>
        <w:ind w:firstLine="425"/>
        <w:jc w:val="both"/>
      </w:pPr>
      <w:r>
        <w:rPr>
          <w:rFonts w:ascii="Times New Roman" w:hAnsi="Times New Roman" w:cs="Times New Roman" w:eastAsia="Times New Roman"/>
          <w:b w:val="0"/>
          <w:sz w:val="24"/>
        </w:rPr>
        <w:t>Si registrano però, perché accertate per lettura e non per conteggio, quattro specie di varianza fra denominazioni del medesimo fascicolo.</w:t>
      </w:r>
    </w:p>
    <w:p>
      <w:pPr>
        <w:spacing w:line="276" w:lineRule="auto" w:after="120"/>
        <w:ind w:firstLine="425"/>
        <w:jc w:val="both"/>
      </w:pPr>
      <w:r>
        <w:rPr>
          <w:rFonts w:ascii="Times New Roman" w:hAnsi="Times New Roman" w:cs="Times New Roman" w:eastAsia="Times New Roman"/>
          <w:b w:val="0"/>
          <w:sz w:val="24"/>
        </w:rPr>
        <w:t>La prima è l'inversione dell'ordine: il fascicolo dedicato a una strage ferroviaria compare sotto due denominazioni che differiscono per l'ordine dei due termini che le compongono.</w:t>
      </w:r>
    </w:p>
    <w:p>
      <w:pPr>
        <w:spacing w:line="276" w:lineRule="auto" w:after="120"/>
        <w:ind w:firstLine="425"/>
        <w:jc w:val="both"/>
      </w:pPr>
      <w:r>
        <w:rPr>
          <w:rFonts w:ascii="Times New Roman" w:hAnsi="Times New Roman" w:cs="Times New Roman" w:eastAsia="Times New Roman"/>
          <w:b w:val="0"/>
          <w:sz w:val="24"/>
        </w:rPr>
        <w:t>La seconda è la variazione di numero grammaticale: il fascicolo dedicato alla raccolta informatizzata compare al singolare e al plurale.</w:t>
      </w:r>
    </w:p>
    <w:p>
      <w:pPr>
        <w:spacing w:line="276" w:lineRule="auto" w:after="120"/>
        <w:ind w:firstLine="425"/>
        <w:jc w:val="both"/>
      </w:pPr>
      <w:r>
        <w:rPr>
          <w:rFonts w:ascii="Times New Roman" w:hAnsi="Times New Roman" w:cs="Times New Roman" w:eastAsia="Times New Roman"/>
          <w:b w:val="0"/>
          <w:sz w:val="24"/>
        </w:rPr>
        <w:t>La terza è l'alternanza fra forma estesa e forma abbreviata: il fascicolo la cui denominazione estesa comprende tre termini compare talvolta con il solo terzo termine, il quale è però anche la denominazione autonoma di un fascicolo diverso. È la collisione già accertata dall'appendice quinta sull'unità ventiduesima del fascicolo del caso, qui ritrovata come fenomeno di serie e non come episodio.</w:t>
      </w:r>
    </w:p>
    <w:p>
      <w:pPr>
        <w:spacing w:line="276" w:lineRule="auto" w:after="120"/>
        <w:ind w:firstLine="425"/>
        <w:jc w:val="both"/>
      </w:pPr>
      <w:r>
        <w:rPr>
          <w:rFonts w:ascii="Times New Roman" w:hAnsi="Times New Roman" w:cs="Times New Roman" w:eastAsia="Times New Roman"/>
          <w:b w:val="0"/>
          <w:sz w:val="24"/>
        </w:rPr>
        <w:t>La quarta è la presenza o assenza del qualificatore iniziale: il fascicolo dedicato a un sequestro compare con e senza la parola che lo introduce.</w:t>
      </w:r>
    </w:p>
    <w:p>
      <w:pPr>
        <w:spacing w:line="276" w:lineRule="auto" w:after="120"/>
        <w:ind w:firstLine="425"/>
        <w:jc w:val="both"/>
      </w:pPr>
      <w:r>
        <w:rPr>
          <w:rFonts w:ascii="Times New Roman" w:hAnsi="Times New Roman" w:cs="Times New Roman" w:eastAsia="Times New Roman"/>
          <w:b w:val="0"/>
          <w:sz w:val="24"/>
        </w:rPr>
        <w:t>Nessuna di queste varianze è un errore di chi compila. Ciascuna è la conseguenza ordinaria di una denominazione lunga impiegata da più mani in dieci anni. La conseguenza per chi risale è che una ricerca condotta sulla denominazione anziché sul fascicolo perde una parte delle occorrenze, e che la parte perduta non è stimabile senza la tavola delle varianti.</w:t>
      </w:r>
    </w:p>
    <w:p>
      <w:pPr>
        <w:spacing w:line="276" w:lineRule="auto" w:after="120"/>
        <w:ind w:firstLine="425"/>
        <w:jc w:val="both"/>
      </w:pPr>
      <w:r>
        <w:rPr>
          <w:rFonts w:ascii="Times New Roman" w:hAnsi="Times New Roman" w:cs="Times New Roman" w:eastAsia="Times New Roman"/>
          <w:b w:val="0"/>
          <w:sz w:val="24"/>
        </w:rPr>
        <w:t>Voce quarantatreesima — La tavola delle denominazioni dei fascicoli. Oggetto: la lettura manuale delle quattrocentoquarantaquattro voci di acquisizione, la determinazione del numero dei fascicoli realmente distinti, e la tavola delle varianti di denominazione per ciascuno. Sede: la serie dei processi verbali, posseduta per duecentosedici documenti. Chiusura: compilazione della tavola. Smentita: non ricorre. Si segnala che la voce è interamente eseguibile sul posseduto e che il suo costo è di lettura.</w:t>
      </w:r>
    </w:p>
    <w:p>
      <w:pPr>
        <w:spacing w:line="276" w:lineRule="auto" w:after="120" w:before="240"/>
        <w:ind w:firstLine="0"/>
        <w:jc w:val="left"/>
      </w:pPr>
      <w:r>
        <w:rPr>
          <w:rFonts w:ascii="Times New Roman" w:hAnsi="Times New Roman" w:cs="Times New Roman" w:eastAsia="Times New Roman"/>
          <w:b/>
          <w:sz w:val="24"/>
        </w:rPr>
        <w:t>Parte quinta — Le quattro voci del fascicolo del caso</w:t>
      </w:r>
    </w:p>
    <w:p>
      <w:pPr>
        <w:spacing w:line="276" w:lineRule="auto" w:after="120"/>
        <w:ind w:firstLine="425"/>
        <w:jc w:val="both"/>
      </w:pPr>
      <w:r>
        <w:rPr>
          <w:rFonts w:ascii="Times New Roman" w:hAnsi="Times New Roman" w:cs="Times New Roman" w:eastAsia="Times New Roman"/>
          <w:b w:val="0"/>
          <w:sz w:val="24"/>
        </w:rPr>
        <w:t>Si espongono le quattro voci del fascicolo del caso che recano più di una chiave nell'atto che ne registra l'ingresso, poiché esse sono le sole catalogazioni multiple contemporanee all'acquisizione, e le altre dieci sono attribuzioni successive.</w:t>
      </w:r>
    </w:p>
    <w:p>
      <w:pPr>
        <w:spacing w:line="276" w:lineRule="auto" w:after="120"/>
        <w:ind w:firstLine="425"/>
        <w:jc w:val="both"/>
      </w:pPr>
      <w:r>
        <w:rPr>
          <w:rFonts w:ascii="Times New Roman" w:hAnsi="Times New Roman" w:cs="Times New Roman" w:eastAsia="Times New Roman"/>
          <w:b w:val="0"/>
          <w:sz w:val="24"/>
        </w:rPr>
        <w:t>L'unità ventiduesima, acquisita alla ottantesima seduta, reca tre chiavi: quella del caso, quella di un fascicolo dedicato a una struttura informativa parallela e a un'organizzazione clandestina, e quella di un fascicolo dedicato a una struttura informativa successiva.</w:t>
      </w:r>
    </w:p>
    <w:p>
      <w:pPr>
        <w:spacing w:line="276" w:lineRule="auto" w:after="120"/>
        <w:ind w:firstLine="425"/>
        <w:jc w:val="both"/>
      </w:pPr>
      <w:r>
        <w:rPr>
          <w:rFonts w:ascii="Times New Roman" w:hAnsi="Times New Roman" w:cs="Times New Roman" w:eastAsia="Times New Roman"/>
          <w:b w:val="0"/>
          <w:sz w:val="24"/>
        </w:rPr>
        <w:t>L'unità ventitreesima, acquisita alla ottantunesima seduta, reca due chiavi: quella del caso e quella del fascicolo intitolato a una persona.</w:t>
      </w:r>
    </w:p>
    <w:p>
      <w:pPr>
        <w:spacing w:line="276" w:lineRule="auto" w:after="120"/>
        <w:ind w:firstLine="425"/>
        <w:jc w:val="both"/>
      </w:pPr>
      <w:r>
        <w:rPr>
          <w:rFonts w:ascii="Times New Roman" w:hAnsi="Times New Roman" w:cs="Times New Roman" w:eastAsia="Times New Roman"/>
          <w:b w:val="0"/>
          <w:sz w:val="24"/>
        </w:rPr>
        <w:t>L'unità trentasettesima, acquisita alla novantaquattresima seduta, reca tre chiavi: quella del caso, quella del fascicolo dedicato al terrorismo di sinistra e quella del fascicolo dedicato ai legami internazionali del terrorismo e dell'eversione.</w:t>
      </w:r>
    </w:p>
    <w:p>
      <w:pPr>
        <w:spacing w:line="276" w:lineRule="auto" w:after="120"/>
        <w:ind w:firstLine="425"/>
        <w:jc w:val="both"/>
      </w:pPr>
      <w:r>
        <w:rPr>
          <w:rFonts w:ascii="Times New Roman" w:hAnsi="Times New Roman" w:cs="Times New Roman" w:eastAsia="Times New Roman"/>
          <w:b w:val="0"/>
          <w:sz w:val="24"/>
        </w:rPr>
        <w:t>L'unità trentanovesima, acquisita alla novantottesima seduta, reca due chiavi: quella del caso e quella del fascicolo intitolato a una persona.</w:t>
      </w:r>
    </w:p>
    <w:p>
      <w:pPr>
        <w:spacing w:line="276" w:lineRule="auto" w:after="120"/>
        <w:ind w:firstLine="425"/>
        <w:jc w:val="both"/>
      </w:pPr>
      <w:r>
        <w:rPr>
          <w:rFonts w:ascii="Times New Roman" w:hAnsi="Times New Roman" w:cs="Times New Roman" w:eastAsia="Times New Roman"/>
          <w:b w:val="0"/>
          <w:sz w:val="24"/>
        </w:rPr>
        <w:t>Si osservi che due delle quattro puntano al medesimo fascicolo intitolato a una persona, e che una punta a due fascicoli di materia internazionale. Nessuna delle quattro punta al fascicolo dedicato alla struttura clandestina di difesa nella sua denominazione autonoma. La circostanza è registrata per completezza e non se ne trae alcuna inferenza, poiché quattro voci non sono base sufficiente per alcuna proposizione sulla struttura del fondo.</w:t>
      </w:r>
    </w:p>
    <w:p>
      <w:pPr>
        <w:spacing w:line="276" w:lineRule="auto" w:after="120"/>
        <w:ind w:firstLine="425"/>
        <w:jc w:val="both"/>
      </w:pPr>
      <w:r>
        <w:rPr>
          <w:rFonts w:ascii="Times New Roman" w:hAnsi="Times New Roman" w:cs="Times New Roman" w:eastAsia="Times New Roman"/>
          <w:b w:val="0"/>
          <w:sz w:val="24"/>
        </w:rPr>
        <w:t>Voce quarantaquattresima — La collazione fra indice e verbale. Oggetto: per ciascuno dei fascicoli dei quali si possieda tanto l'indice di acquisizione quanto i processi verbali, la collazione delle chiavi apposte all'ingresso con i rinvii apposti in sede di compilazione, e la misura della quota di catalogazione multipla attribuita in via successiva. Sede: gli indici posseduti per tre fascicoli e la serie dei verbali. Chiusura: collazione dei tre fascicoli. Smentita: la constatazione che la quota di attribuzione successiva sia trascurabile negli altri due fascicoli, la quale renderebbe il rapporto di dieci su quattordici una particolarità del fascicolo del caso anziché una proprietà del sistema.</w:t>
      </w:r>
    </w:p>
    <w:p>
      <w:pPr>
        <w:spacing w:line="276" w:lineRule="auto" w:after="120" w:before="240"/>
        <w:ind w:firstLine="0"/>
        <w:jc w:val="left"/>
      </w:pPr>
      <w:r>
        <w:rPr>
          <w:rFonts w:ascii="Times New Roman" w:hAnsi="Times New Roman" w:cs="Times New Roman" w:eastAsia="Times New Roman"/>
          <w:b/>
          <w:sz w:val="24"/>
        </w:rPr>
        <w:t>Parte sesta — Stati Zero</w:t>
      </w:r>
    </w:p>
    <w:p>
      <w:pPr>
        <w:spacing w:line="276" w:lineRule="auto" w:after="120"/>
        <w:ind w:firstLine="425"/>
        <w:jc w:val="both"/>
      </w:pPr>
      <w:r>
        <w:rPr>
          <w:rFonts w:ascii="Times New Roman" w:hAnsi="Times New Roman" w:cs="Times New Roman" w:eastAsia="Times New Roman"/>
          <w:b w:val="0"/>
          <w:sz w:val="24"/>
        </w:rPr>
        <w:t>Primo. Il numero dei fascicoli realmente distinti non è determinato, e la cifra di cinquantaquattro denominazioni è approssimazione per eccesso dichiarata.</w:t>
      </w:r>
    </w:p>
    <w:p>
      <w:pPr>
        <w:spacing w:line="276" w:lineRule="auto" w:after="120"/>
        <w:ind w:firstLine="425"/>
        <w:jc w:val="both"/>
      </w:pPr>
      <w:r>
        <w:rPr>
          <w:rFonts w:ascii="Times New Roman" w:hAnsi="Times New Roman" w:cs="Times New Roman" w:eastAsia="Times New Roman"/>
          <w:b w:val="0"/>
          <w:sz w:val="24"/>
        </w:rPr>
        <w:t>Secondo. La collazione fra indice e verbale è compiuta per il solo fascicolo del caso, e la generalizzazione del rapporto di dieci su quattordici agli altri fascicoli non è verificata.</w:t>
      </w:r>
    </w:p>
    <w:p>
      <w:pPr>
        <w:spacing w:line="276" w:lineRule="auto" w:after="120"/>
        <w:ind w:firstLine="425"/>
        <w:jc w:val="both"/>
      </w:pPr>
      <w:r>
        <w:rPr>
          <w:rFonts w:ascii="Times New Roman" w:hAnsi="Times New Roman" w:cs="Times New Roman" w:eastAsia="Times New Roman"/>
          <w:b w:val="0"/>
          <w:sz w:val="24"/>
        </w:rPr>
        <w:t>Terzo. Quattro fascicoli di destinazione su sette restano non posseduti quanto agli indici, e la verifica di reciprocità in senso proprio — cioè l'accertamento che a ogni rinvio in uscita corrisponda un rinvio in entrata — resta pertanto ineseguibile per la maggior parte delle destinazioni.</w:t>
      </w:r>
    </w:p>
    <w:p>
      <w:pPr>
        <w:spacing w:line="276" w:lineRule="auto" w:after="120"/>
        <w:ind w:firstLine="425"/>
        <w:jc w:val="both"/>
      </w:pPr>
      <w:r>
        <w:rPr>
          <w:rFonts w:ascii="Times New Roman" w:hAnsi="Times New Roman" w:cs="Times New Roman" w:eastAsia="Times New Roman"/>
          <w:b w:val="0"/>
          <w:sz w:val="24"/>
        </w:rPr>
        <w:t>Si dichiara che la Voce ventiseiesima è eseguita in parte e non si chiude: essa è stata eseguita nella forma della misura della catalogazione multipla al momento dell'ingresso, che è più informativa di quella prevista, e non nella forma della verifica di reciprocità, che resta preclusa dall'assenza degli indici di destinazione.</w:t>
      </w:r>
    </w:p>
    <w:p>
      <w:pPr>
        <w:spacing w:line="276" w:lineRule="auto" w:after="120" w:before="240"/>
        <w:ind w:firstLine="0"/>
        <w:jc w:val="left"/>
      </w:pPr>
      <w:r>
        <w:rPr>
          <w:rFonts w:ascii="Times New Roman" w:hAnsi="Times New Roman" w:cs="Times New Roman" w:eastAsia="Times New Roman"/>
          <w:b/>
          <w:sz w:val="24"/>
        </w:rPr>
        <w:t>Riga di giornale</w:t>
      </w:r>
    </w:p>
    <w:p>
      <w:pPr>
        <w:spacing w:line="276" w:lineRule="auto" w:after="120"/>
        <w:ind w:firstLine="425"/>
        <w:jc w:val="both"/>
      </w:pPr>
      <w:r>
        <w:rPr>
          <w:rFonts w:ascii="Times New Roman" w:hAnsi="Times New Roman" w:cs="Times New Roman" w:eastAsia="Times New Roman"/>
          <w:b w:val="0"/>
          <w:sz w:val="24"/>
        </w:rPr>
        <w:t>Riga del quindici agosto duemilaventisei, ottava del giorno sul medesimo cantiere. Cantiere: designazione per atto delle fonti. Materia: la serie dei processi verbali letta come serie di acquisizione completa.</w:t>
      </w:r>
    </w:p>
    <w:p>
      <w:pPr>
        <w:spacing w:line="276" w:lineRule="auto" w:after="120"/>
        <w:ind w:firstLine="425"/>
        <w:jc w:val="both"/>
      </w:pPr>
      <w:r>
        <w:rPr>
          <w:rFonts w:ascii="Times New Roman" w:hAnsi="Times New Roman" w:cs="Times New Roman" w:eastAsia="Times New Roman"/>
          <w:b w:val="0"/>
          <w:sz w:val="24"/>
        </w:rPr>
        <w:t>Esito positivo: quattrocentoquarantaquattro voci di acquisizione censite su duecentosedici processi verbali, con distribuzione del numero di chiavi per voce; misura della catalogazione multipla all'ingresso, pari a cinquantasette voci su quattrocentoquarantaquattro; individuazione della voce a cinque chiavi; accertamento che la catalogazione multipla del fascicolo del caso è per dieci quattordicesimi attribuzione successiva del compilatore e non proprietà dell'acquisizione, con conseguente correzione dell'appendice terza quanto allo strumento e dell'appendice quinta quanto alla causa; enunciazione della quattordicesima regola della risalita; accertamento per lettura di quattro specie di varianza nelle denominazioni dei fascicoli; due voci nuove iscritte in tavola, entrambe eseguibili sul posseduto.</w:t>
      </w:r>
    </w:p>
    <w:p>
      <w:pPr>
        <w:spacing w:line="276" w:lineRule="auto" w:after="120"/>
        <w:ind w:firstLine="425"/>
        <w:jc w:val="both"/>
      </w:pPr>
      <w:r>
        <w:rPr>
          <w:rFonts w:ascii="Times New Roman" w:hAnsi="Times New Roman" w:cs="Times New Roman" w:eastAsia="Times New Roman"/>
          <w:b w:val="0"/>
          <w:sz w:val="24"/>
        </w:rPr>
        <w:t>Esito negativo: il numero dei fascicoli distinti non è determinato; la collazione indice-verbale è compiuta per un solo fascicolo; la verifica di reciprocità in senso proprio resta preclusa per quattro destinazioni su sette; la Voce ventiseiesima è eseguita in parte e non si chiude.</w:t>
      </w:r>
    </w:p>
    <w:p>
      <w:pPr>
        <w:spacing w:line="276" w:lineRule="auto" w:after="120"/>
        <w:ind w:firstLine="425"/>
        <w:jc w:val="both"/>
      </w:pPr>
      <w:r>
        <w:rPr>
          <w:rFonts w:ascii="Times New Roman" w:hAnsi="Times New Roman" w:cs="Times New Roman" w:eastAsia="Times New Roman"/>
          <w:b w:val="0"/>
          <w:sz w:val="24"/>
        </w:rPr>
        <w:t>Riga di errore proprio, quarta della giornata, e rilevata prima della pubblicazione. Lo strumento di estrazione ha congiunto in una sola stringa due chiavi consecutive in un numero limitato di voci, producendo denominazioni inesistenti e gonfiando il conteggio delle denominazioni distinte. Il difetto è stato rilevato leggendo a mano l'elenco prodotto, e non era rilevabile per via statistica poiché lo strumento sbagliava in modo stabile. La cifra è stata pubblicata come approssimazione per eccesso anziché come misura. Si registra che questa è la prima volta nella giornata in cui la regola tratta da un errore anteriore ha operato prima del danno anziché dopo.</w:t>
      </w:r>
    </w:p>
    <w:p>
      <w:pPr>
        <w:spacing w:line="276" w:lineRule="auto" w:after="120"/>
        <w:ind w:firstLine="425"/>
        <w:jc w:val="both"/>
      </w:pPr>
      <w:r>
        <w:rPr>
          <w:rFonts w:ascii="Times New Roman" w:hAnsi="Times New Roman" w:cs="Times New Roman" w:eastAsia="Times New Roman"/>
          <w:b w:val="0"/>
          <w:sz w:val="24"/>
        </w:rPr>
        <w:t>Riga di avvertenza. Il presente atto tratta di chiavi di catalogo e di denominazioni di fascicoli. Esso non riferisce il contenuto di alcuna delle quattrocentoquarantaquattro voci, non conferisce grado ad alcuna proposizione e non nomina alcuna persona. I fascicoli intitolati a persone sono designati per tale qualità e non per il nome che portano, poiché in questa sede la funzione basta a identificare l'indirizzo.</w:t>
      </w:r>
    </w:p>
    <w:p>
      <w:pPr>
        <w:spacing w:line="276" w:lineRule="auto" w:after="120" w:before="240"/>
        <w:ind w:firstLine="0"/>
        <w:jc w:val="left"/>
      </w:pPr>
      <w:r>
        <w:rPr>
          <w:rFonts w:ascii="Times New Roman" w:hAnsi="Times New Roman" w:cs="Times New Roman" w:eastAsia="Times New Roman"/>
          <w:b/>
          <w:sz w:val="24"/>
        </w:rPr>
        <w:t>Colophon</w:t>
      </w:r>
    </w:p>
    <w:p>
      <w:pPr>
        <w:spacing w:line="276" w:lineRule="auto" w:after="120"/>
        <w:ind w:firstLine="425"/>
        <w:jc w:val="both"/>
      </w:pPr>
      <w:r>
        <w:rPr>
          <w:rFonts w:ascii="Times New Roman" w:hAnsi="Times New Roman" w:cs="Times New Roman" w:eastAsia="Times New Roman"/>
          <w:b w:val="0"/>
          <w:sz w:val="24"/>
        </w:rPr>
        <w:t>APPENDICE DECIMA ALLA FASE SETTIMA, la serie di acquisizione e chi attribuisce le chiavi, quindici agosto duemilaventisei. I settanta Capitoli restano settanta. Le redazioni anteriori non sono modificate: le pietre deposte non si scalpellano, e le correzioni sono dichiarate accanto ad esse. Resta sovrana la Regola di Ferro: dove la fonte documenta, l'opera certifica; dove la fonte tace, l'opera indaga e non afferma. Il momento nel quale una chiave è apposta determina che cosa essa possa attestare. Autore e direttore dell'opera: Luigi De Michele.</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