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DODICESIMA ALLA FASE SETTIMA</w:t>
      </w:r>
    </w:p>
    <w:p>
      <w:pPr>
        <w:spacing w:line="276" w:lineRule="auto" w:after="120"/>
        <w:ind w:firstLine="0"/>
        <w:jc w:val="center"/>
      </w:pPr>
      <w:r>
        <w:rPr>
          <w:rFonts w:ascii="Times New Roman" w:hAnsi="Times New Roman" w:cs="Times New Roman" w:eastAsia="Times New Roman"/>
          <w:b/>
          <w:sz w:val="24"/>
        </w:rPr>
        <w:t>Lo strumento che esisteva</w:t>
      </w:r>
    </w:p>
    <w:p>
      <w:pPr>
        <w:spacing w:line="276" w:lineRule="auto" w:after="120"/>
        <w:ind w:firstLine="0"/>
        <w:jc w:val="center"/>
      </w:pPr>
      <w:r>
        <w:rPr>
          <w:rFonts w:ascii="Times New Roman" w:hAnsi="Times New Roman" w:cs="Times New Roman" w:eastAsia="Times New Roman"/>
          <w:b/>
          <w:sz w:val="24"/>
        </w:rPr>
        <w:t>L'apparato dell'Indice generale atti della X legislatura</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dodicesima</w:t>
      </w:r>
    </w:p>
    <w:p>
      <w:pPr>
        <w:spacing w:line="276" w:lineRule="auto" w:after="120"/>
        <w:ind w:firstLine="425"/>
        <w:jc w:val="both"/>
      </w:pPr>
      <w:r>
        <w:rPr>
          <w:rFonts w:ascii="Times New Roman" w:hAnsi="Times New Roman" w:cs="Times New Roman" w:eastAsia="Times New Roman"/>
          <w:b w:val="0"/>
          <w:sz w:val="24"/>
        </w:rPr>
        <w:t>La presente è appendice dodicesima alla Fase Settima e opera sull'apparato introduttivo dell'Indice generale degli atti della Commissione parlamentare d'inchiesta della X legislatura: la premessa, il testo della legge istitutiva con le sue modificazioni, l'elenco dei componenti, l'elenco dei collaboratori, il prospetto analitico delle centodue sedute, l'elenco degli auditi in sede formale, e la nota introduttiva che gli estensori intitolano indice degli indici. Come le undici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Essa chiude la giornata, e la chiude con l'errore proprio più grave dei cinque commessi.</w:t>
      </w:r>
    </w:p>
    <w:p>
      <w:pPr>
        <w:spacing w:line="276" w:lineRule="auto" w:after="120" w:before="240"/>
        <w:ind w:firstLine="0"/>
        <w:jc w:val="left"/>
      </w:pPr>
      <w:r>
        <w:rPr>
          <w:rFonts w:ascii="Times New Roman" w:hAnsi="Times New Roman" w:cs="Times New Roman" w:eastAsia="Times New Roman"/>
          <w:b/>
          <w:sz w:val="24"/>
        </w:rPr>
        <w:t>Parte prima — La regola che era già implementata</w:t>
      </w:r>
    </w:p>
    <w:p>
      <w:pPr>
        <w:spacing w:line="276" w:lineRule="auto" w:after="120"/>
        <w:ind w:firstLine="425"/>
        <w:jc w:val="both"/>
      </w:pPr>
      <w:r>
        <w:rPr>
          <w:rFonts w:ascii="Times New Roman" w:hAnsi="Times New Roman" w:cs="Times New Roman" w:eastAsia="Times New Roman"/>
          <w:b w:val="0"/>
          <w:sz w:val="24"/>
        </w:rPr>
        <w:t>La nota introduttiva descrive i criteri con i quali l'archivio informatizzato della Commissione fu ordinato. Uno di essi va riportato quasi alla lettera, poiché è il punto del presente atto.</w:t>
      </w:r>
    </w:p>
    <w:p>
      <w:pPr>
        <w:spacing w:line="276" w:lineRule="auto" w:after="120"/>
        <w:ind w:firstLine="425"/>
        <w:jc w:val="both"/>
      </w:pPr>
      <w:r>
        <w:rPr>
          <w:rFonts w:ascii="Times New Roman" w:hAnsi="Times New Roman" w:cs="Times New Roman" w:eastAsia="Times New Roman"/>
          <w:b w:val="0"/>
          <w:sz w:val="24"/>
        </w:rPr>
        <w:t>L'ordine tematico, vi si legge, organizza il materiale documentale tenendo conto non già dell'ente di provenienza dell'atto, ma dell'ente originatore, dell'oggetto dell'atto e spesso anche della sua natura giuridico-formale.</w:t>
      </w:r>
    </w:p>
    <w:p>
      <w:pPr>
        <w:spacing w:line="276" w:lineRule="auto" w:after="120"/>
        <w:ind w:firstLine="425"/>
        <w:jc w:val="both"/>
      </w:pPr>
      <w:r>
        <w:rPr>
          <w:rFonts w:ascii="Times New Roman" w:hAnsi="Times New Roman" w:cs="Times New Roman" w:eastAsia="Times New Roman"/>
          <w:b w:val="0"/>
          <w:sz w:val="24"/>
        </w:rPr>
        <w:t>Non già dell'ente di provenienza, ma dell'ente originatore.</w:t>
      </w:r>
    </w:p>
    <w:p>
      <w:pPr>
        <w:spacing w:line="276" w:lineRule="auto" w:after="120"/>
        <w:ind w:firstLine="425"/>
        <w:jc w:val="both"/>
      </w:pPr>
      <w:r>
        <w:rPr>
          <w:rFonts w:ascii="Times New Roman" w:hAnsi="Times New Roman" w:cs="Times New Roman" w:eastAsia="Times New Roman"/>
          <w:b w:val="0"/>
          <w:sz w:val="24"/>
        </w:rPr>
        <w:t>È la prima regola della risalita, enunciata dall'appendice seconda nella mattina di oggi come fondamento dell'intera verifica genealogica: soltanto la produzione genera catena, l'acquisizione e l'esposizione non ne generano; chi detiene non attesta. Gli estensori dell'indice l'hanno formulata nel millenovecentonovantadue, in una nota introduttiva, come criterio ordinatore di un archivio ottico, e l'hanno implementata in un sistema di codici.</w:t>
      </w:r>
    </w:p>
    <w:p>
      <w:pPr>
        <w:spacing w:line="276" w:lineRule="auto" w:after="120"/>
        <w:ind w:firstLine="425"/>
        <w:jc w:val="both"/>
      </w:pPr>
      <w:r>
        <w:rPr>
          <w:rFonts w:ascii="Times New Roman" w:hAnsi="Times New Roman" w:cs="Times New Roman" w:eastAsia="Times New Roman"/>
          <w:b w:val="0"/>
          <w:sz w:val="24"/>
        </w:rPr>
        <w:t>Si registri l'errore per intero e senza attenuazione. Esso non è un errore di misura, come i quattro anteriori, e non si corregge con una cifra. È un errore di presunzione: si è costruita per dodici appendici una disciplina di risalita senza avere verificato se l'archivio sul quale la si applicava ne possedesse già una. Gli archivisti di un fondo hanno risolto i problemi di quel fondo prima di chi vi arriva dopo, e li hanno risolti avendo il fondo sotto mano.</w:t>
      </w:r>
    </w:p>
    <w:p>
      <w:pPr>
        <w:spacing w:line="276" w:lineRule="auto" w:after="120"/>
        <w:ind w:firstLine="425"/>
        <w:jc w:val="both"/>
      </w:pPr>
      <w:r>
        <w:rPr>
          <w:rFonts w:ascii="Times New Roman" w:hAnsi="Times New Roman" w:cs="Times New Roman" w:eastAsia="Times New Roman"/>
          <w:b w:val="0"/>
          <w:sz w:val="24"/>
        </w:rPr>
        <w:t>Si enuncia la regola, ed è la sedicesima e ultima della serie. Prima di costruire uno strumento di reperimento sopra un fondo, si legga l'apparato introduttivo del fondo. Un archivio ordinato reca la propria teoria nella propria nota introduttiva, e quella teoria è stata provata sul materiale che ordina, il che è più di quanto possa dire chiunque la ricostruisca dall'esterno.</w:t>
      </w:r>
    </w:p>
    <w:p>
      <w:pPr>
        <w:spacing w:line="276" w:lineRule="auto" w:after="120"/>
        <w:ind w:firstLine="425"/>
        <w:jc w:val="both"/>
      </w:pPr>
      <w:r>
        <w:rPr>
          <w:rFonts w:ascii="Times New Roman" w:hAnsi="Times New Roman" w:cs="Times New Roman" w:eastAsia="Times New Roman"/>
          <w:b w:val="0"/>
          <w:sz w:val="24"/>
        </w:rPr>
        <w:t>Si dichiari, per esattezza e non per attenuazione, che la coincidenza fra la regola enunciata e il criterio ritrovato non toglie valore alla prima. Una regola indipendentemente riscoperta e poi ritrovata nella pratica di chi ordinò il materiale è confermata, non smentita: due derivazioni indipendenti dal medesimo problema hanno prodotto la medesima soluzione. Ciò che è tolto non è la validità della regola, ma il merito della sua scoperta e, soprattutto, il tempo speso a ricostruirla.</w:t>
      </w:r>
    </w:p>
    <w:p>
      <w:pPr>
        <w:spacing w:line="276" w:lineRule="auto" w:after="120" w:before="240"/>
        <w:ind w:firstLine="0"/>
        <w:jc w:val="left"/>
      </w:pPr>
      <w:r>
        <w:rPr>
          <w:rFonts w:ascii="Times New Roman" w:hAnsi="Times New Roman" w:cs="Times New Roman" w:eastAsia="Times New Roman"/>
          <w:b/>
          <w:sz w:val="24"/>
        </w:rPr>
        <w:t>Parte seconda — L'indirizzo macchina delle cinquanta unità</w:t>
      </w:r>
    </w:p>
    <w:p>
      <w:pPr>
        <w:spacing w:line="276" w:lineRule="auto" w:after="120"/>
        <w:ind w:firstLine="425"/>
        <w:jc w:val="both"/>
      </w:pPr>
      <w:r>
        <w:rPr>
          <w:rFonts w:ascii="Times New Roman" w:hAnsi="Times New Roman" w:cs="Times New Roman" w:eastAsia="Times New Roman"/>
          <w:b w:val="0"/>
          <w:sz w:val="24"/>
        </w:rPr>
        <w:t>La nota descrive il codice di accesso all'archivio ottico. Esso consta di una parte fissa, costituita dalla lettera iniziale del nome dell'inchiesta seguita da un trattino, e di una parte variabile che coincide con il numero di classificazione del documento secondo l'indice delle acquisizioni. I documenti di particolare complessità sono ridotti a unità documentarie elementari, e in tal caso la parte variabile diviene la radice cui si connette un'ulteriore progressione numerica, con segnalazione automatica della cascata dei documenti derivati.</w:t>
      </w:r>
    </w:p>
    <w:p>
      <w:pPr>
        <w:spacing w:line="276" w:lineRule="auto" w:after="120"/>
        <w:ind w:firstLine="425"/>
        <w:jc w:val="both"/>
      </w:pPr>
      <w:r>
        <w:rPr>
          <w:rFonts w:ascii="Times New Roman" w:hAnsi="Times New Roman" w:cs="Times New Roman" w:eastAsia="Times New Roman"/>
          <w:b w:val="0"/>
          <w:sz w:val="24"/>
        </w:rPr>
        <w:t>Ne segue che ciascuna delle cinquanta unità individuate dalle appendici terza e quarta possiede già un indirizzo formato, ricavabile per composizione dalla lettera dell'inchiesta e dal numero d'ordine che quelle appendici hanno determinato. Il lavoro di designazione compiuto oggi non produce dunque un indirizzo nuovo: ricostruisce, per via indiretta e con tre divergenze accertate, la parte variabile di un indirizzo già esistente.</w:t>
      </w:r>
    </w:p>
    <w:p>
      <w:pPr>
        <w:spacing w:line="276" w:lineRule="auto" w:after="120"/>
        <w:ind w:firstLine="425"/>
        <w:jc w:val="both"/>
      </w:pPr>
      <w:r>
        <w:rPr>
          <w:rFonts w:ascii="Times New Roman" w:hAnsi="Times New Roman" w:cs="Times New Roman" w:eastAsia="Times New Roman"/>
          <w:b w:val="0"/>
          <w:sz w:val="24"/>
        </w:rPr>
        <w:t>Ne segue altresì la spiegazione della struttura che le appendici avevano rilevata senza spiegarla. L'unità quattordicesima bis e la serie a tre membri della trentaseiesima non sono irregolarità della numerazione: sono unità documentarie elementari derivate da un documento complesso, e la loro forma è quella che il sistema di codifica prescrive. La cascata che l'appendice quarta ha ricostruito leggendo un indice era generata automaticamente dal programma.</w:t>
      </w:r>
    </w:p>
    <w:p>
      <w:pPr>
        <w:spacing w:line="276" w:lineRule="auto" w:after="120" w:before="240"/>
        <w:ind w:firstLine="0"/>
        <w:jc w:val="left"/>
      </w:pPr>
      <w:r>
        <w:rPr>
          <w:rFonts w:ascii="Times New Roman" w:hAnsi="Times New Roman" w:cs="Times New Roman" w:eastAsia="Times New Roman"/>
          <w:b/>
          <w:sz w:val="24"/>
        </w:rPr>
        <w:t>Parte terza — Ciò che è pubblicato</w:t>
      </w:r>
    </w:p>
    <w:p>
      <w:pPr>
        <w:spacing w:line="276" w:lineRule="auto" w:after="120"/>
        <w:ind w:firstLine="425"/>
        <w:jc w:val="both"/>
      </w:pPr>
      <w:r>
        <w:rPr>
          <w:rFonts w:ascii="Times New Roman" w:hAnsi="Times New Roman" w:cs="Times New Roman" w:eastAsia="Times New Roman"/>
          <w:b w:val="0"/>
          <w:sz w:val="24"/>
        </w:rPr>
        <w:t>La premessa e la nota introduttiva stabiliscono, quanto al regime dei materiali, quattro fatti che riclassificano una parte consistente della tavola.</w:t>
      </w:r>
    </w:p>
    <w:p>
      <w:pPr>
        <w:spacing w:line="276" w:lineRule="auto" w:after="120"/>
        <w:ind w:firstLine="425"/>
        <w:jc w:val="both"/>
      </w:pPr>
      <w:r>
        <w:rPr>
          <w:rFonts w:ascii="Times New Roman" w:hAnsi="Times New Roman" w:cs="Times New Roman" w:eastAsia="Times New Roman"/>
          <w:b w:val="0"/>
          <w:sz w:val="24"/>
        </w:rPr>
        <w:t>Primo. Nella seduta conclusiva del quattordici e quindici aprile millenovecentonovantadue la Commissione approvò le relazioni conclusive di quattro inchieste, fra le quali quella sul caso, e deliberò all'unanimità di pubblicare quali allegati alle relazioni finali la totalità dei documenti a ciascuna di esse relativi, dichiarando di volere assicurare la massima trasparenza dell'operato e le più ampie possibilità di ricerca futura.</w:t>
      </w:r>
    </w:p>
    <w:p>
      <w:pPr>
        <w:spacing w:line="276" w:lineRule="auto" w:after="120"/>
        <w:ind w:firstLine="425"/>
        <w:jc w:val="both"/>
      </w:pPr>
      <w:r>
        <w:rPr>
          <w:rFonts w:ascii="Times New Roman" w:hAnsi="Times New Roman" w:cs="Times New Roman" w:eastAsia="Times New Roman"/>
          <w:b w:val="0"/>
          <w:sz w:val="24"/>
        </w:rPr>
        <w:t>Secondo. La mole così pubblicata è quantificata dagli estensori in circa trecentocinquantamila pagine per le quattro inchieste, e in prossimità di cinquecentomila comprendendo la documentazione delle inchieste non giunte a relazione conclusiva, la quale non è soggetta a pubblicazione ed è stata versata alla Commissione successiva per disposizione di legge.</w:t>
      </w:r>
    </w:p>
    <w:p>
      <w:pPr>
        <w:spacing w:line="276" w:lineRule="auto" w:after="120"/>
        <w:ind w:firstLine="425"/>
        <w:jc w:val="both"/>
      </w:pPr>
      <w:r>
        <w:rPr>
          <w:rFonts w:ascii="Times New Roman" w:hAnsi="Times New Roman" w:cs="Times New Roman" w:eastAsia="Times New Roman"/>
          <w:b w:val="0"/>
          <w:sz w:val="24"/>
        </w:rPr>
        <w:t>Terzo. I resoconti stenografici delle centodue sedute sono integralmente riprodotti a stampa in otto volumi.</w:t>
      </w:r>
    </w:p>
    <w:p>
      <w:pPr>
        <w:spacing w:line="276" w:lineRule="auto" w:after="120"/>
        <w:ind w:firstLine="425"/>
        <w:jc w:val="both"/>
      </w:pPr>
      <w:r>
        <w:rPr>
          <w:rFonts w:ascii="Times New Roman" w:hAnsi="Times New Roman" w:cs="Times New Roman" w:eastAsia="Times New Roman"/>
          <w:b w:val="0"/>
          <w:sz w:val="24"/>
        </w:rPr>
        <w:t>Quarto. Fra le pubblicazioni curate dalla Commissione figura, in due volumi reperibili fra gli atti parlamentari della medesima legislatura, la documentazione rinvenuta il nove ottobre millenovecentonovanta nella base milanese.</w:t>
      </w:r>
    </w:p>
    <w:p>
      <w:pPr>
        <w:spacing w:line="276" w:lineRule="auto" w:after="120"/>
        <w:ind w:firstLine="425"/>
        <w:jc w:val="both"/>
      </w:pPr>
      <w:r>
        <w:rPr>
          <w:rFonts w:ascii="Times New Roman" w:hAnsi="Times New Roman" w:cs="Times New Roman" w:eastAsia="Times New Roman"/>
          <w:b w:val="0"/>
          <w:sz w:val="24"/>
        </w:rPr>
        <w:t>La conseguenza sulla tavola è la più ampia della giornata e va enunciata senza cautele, poiché i quattro fatti sono dichiarati dagli estensori dell'indice e non inferiti.</w:t>
      </w:r>
    </w:p>
    <w:p>
      <w:pPr>
        <w:spacing w:line="276" w:lineRule="auto" w:after="120"/>
        <w:ind w:firstLine="425"/>
        <w:jc w:val="both"/>
      </w:pPr>
      <w:r>
        <w:rPr>
          <w:rFonts w:ascii="Times New Roman" w:hAnsi="Times New Roman" w:cs="Times New Roman" w:eastAsia="Times New Roman"/>
          <w:b w:val="0"/>
          <w:sz w:val="24"/>
        </w:rPr>
        <w:t>Lo Stato Zero dichiarato dall'appendice terza sui ventisette processi verbali non posseduti si chiude quanto alla natura: essi non sono materiale d'archivio da domandare, sono pagine di otto volumi a stampa. Il loro non possesso è mancata consultazione e non mancato accesso.</w:t>
      </w:r>
    </w:p>
    <w:p>
      <w:pPr>
        <w:spacing w:line="276" w:lineRule="auto" w:after="120"/>
        <w:ind w:firstLine="425"/>
        <w:jc w:val="both"/>
      </w:pPr>
      <w:r>
        <w:rPr>
          <w:rFonts w:ascii="Times New Roman" w:hAnsi="Times New Roman" w:cs="Times New Roman" w:eastAsia="Times New Roman"/>
          <w:b w:val="0"/>
          <w:sz w:val="24"/>
        </w:rPr>
        <w:t>La Voce prima, che l'appendice terza aveva fatta passare dalle voci che domandano un accesso a quelle che domandano un reperimento, compie il secondo passaggio e diventa consultazione: il materiale del secondo rinvenimento è in due volumi pubblicati.</w:t>
      </w:r>
    </w:p>
    <w:p>
      <w:pPr>
        <w:spacing w:line="276" w:lineRule="auto" w:after="120"/>
        <w:ind w:firstLine="425"/>
        <w:jc w:val="both"/>
      </w:pPr>
      <w:r>
        <w:rPr>
          <w:rFonts w:ascii="Times New Roman" w:hAnsi="Times New Roman" w:cs="Times New Roman" w:eastAsia="Times New Roman"/>
          <w:b w:val="0"/>
          <w:sz w:val="24"/>
        </w:rPr>
        <w:t>Le voci della tavola che domandano unità del fascicolo del caso sono, per la totalità, voci di consultazione e non di accesso, poiché la totalità dei documenti relativi all'inchiesta conclusa fu pubblicata per deliberazione unanime.</w:t>
      </w:r>
    </w:p>
    <w:p>
      <w:pPr>
        <w:spacing w:line="276" w:lineRule="auto" w:after="120"/>
        <w:ind w:firstLine="425"/>
        <w:jc w:val="both"/>
      </w:pPr>
      <w:r>
        <w:rPr>
          <w:rFonts w:ascii="Times New Roman" w:hAnsi="Times New Roman" w:cs="Times New Roman" w:eastAsia="Times New Roman"/>
          <w:b w:val="0"/>
          <w:sz w:val="24"/>
        </w:rPr>
        <w:t>Si dichiari il limite di questa riclassificazione, ed è uno solo ma va detto. Essa riguarda i documenti relativi alle quattro inchieste concluse. Non riguarda la documentazione delle inchieste non giunte a relazione, non soggetta a pubblicazione e versata alla Commissione successiva; e non riguarda ciò che, entro le inchieste concluse, fosse stato sottratto alla pubblicazione da provvedimenti particolari. Le appendici anteriori hanno registrato per il fascicolo del caso quattordici unità con indicazione di riservatezza alla data dell'acquisizione e una con indicazione di non divulgabilità: la loro sorte nella deliberazione di pubblicazione non è dichiarata dalle fonti qui impiegate.</w:t>
      </w:r>
    </w:p>
    <w:p>
      <w:pPr>
        <w:spacing w:line="276" w:lineRule="auto" w:after="120" w:before="240"/>
        <w:ind w:firstLine="0"/>
        <w:jc w:val="left"/>
      </w:pPr>
      <w:r>
        <w:rPr>
          <w:rFonts w:ascii="Times New Roman" w:hAnsi="Times New Roman" w:cs="Times New Roman" w:eastAsia="Times New Roman"/>
          <w:b/>
          <w:sz w:val="24"/>
        </w:rPr>
        <w:t>Parte quarta — Un'asimmetria fra le quattro inchieste</w:t>
      </w:r>
    </w:p>
    <w:p>
      <w:pPr>
        <w:spacing w:line="276" w:lineRule="auto" w:after="120"/>
        <w:ind w:firstLine="425"/>
        <w:jc w:val="both"/>
      </w:pPr>
      <w:r>
        <w:rPr>
          <w:rFonts w:ascii="Times New Roman" w:hAnsi="Times New Roman" w:cs="Times New Roman" w:eastAsia="Times New Roman"/>
          <w:b w:val="0"/>
          <w:sz w:val="24"/>
        </w:rPr>
        <w:t>La nota introduttiva descrive, alla lettera che riguarda gli indici analitici, uno strumento che merita registrazione perché non è universale.</w:t>
      </w:r>
    </w:p>
    <w:p>
      <w:pPr>
        <w:spacing w:line="276" w:lineRule="auto" w:after="120"/>
        <w:ind w:firstLine="425"/>
        <w:jc w:val="both"/>
      </w:pPr>
      <w:r>
        <w:rPr>
          <w:rFonts w:ascii="Times New Roman" w:hAnsi="Times New Roman" w:cs="Times New Roman" w:eastAsia="Times New Roman"/>
          <w:b w:val="0"/>
          <w:sz w:val="24"/>
        </w:rPr>
        <w:t>Per le inchieste sul disastro aereo, sull'organizzazione clandestina e sul caso di un apparato informativo e di un piano degli anni sessanta, ogni deposizione resa in sede formale è stata classificata per argomenti con indicazione di volume e pagina, in modo da consentire la ricerca per parole chiave e per combinazioni di esse, e da ottenere indici completi delle questioni affrontate in ciascuna audizione.</w:t>
      </w:r>
    </w:p>
    <w:p>
      <w:pPr>
        <w:spacing w:line="276" w:lineRule="auto" w:after="120"/>
        <w:ind w:firstLine="425"/>
        <w:jc w:val="both"/>
      </w:pPr>
      <w:r>
        <w:rPr>
          <w:rFonts w:ascii="Times New Roman" w:hAnsi="Times New Roman" w:cs="Times New Roman" w:eastAsia="Times New Roman"/>
          <w:b w:val="0"/>
          <w:sz w:val="24"/>
        </w:rPr>
        <w:t>Per l'inchiesta sul caso, no. L'indice analitico per argomenti delle deposizioni non è compreso fra quelli pubblicati.</w:t>
      </w:r>
    </w:p>
    <w:p>
      <w:pPr>
        <w:spacing w:line="276" w:lineRule="auto" w:after="120"/>
        <w:ind w:firstLine="425"/>
        <w:jc w:val="both"/>
      </w:pPr>
      <w:r>
        <w:rPr>
          <w:rFonts w:ascii="Times New Roman" w:hAnsi="Times New Roman" w:cs="Times New Roman" w:eastAsia="Times New Roman"/>
          <w:b w:val="0"/>
          <w:sz w:val="24"/>
        </w:rPr>
        <w:t>Si registra l'asimmetria come dato e non se ne trae inferenza. Le sue cause possibili sono almeno tre — l'ampiezza relativa dei corpora, il tempo disponibile alla vigilia dello scioglimento, la circostanza che sul caso esistesse già una Commissione anteriore dedicata — e nessuna delle tre è stabilita dalle fonti qui impiegate. Si registra però la conseguenza operativa, che è certa: per il caso, la ricerca nelle deposizioni non dispone dello strumento di cui dispongono le altre tre inchieste, e va condotta sui volumi.</w:t>
      </w:r>
    </w:p>
    <w:p>
      <w:pPr>
        <w:spacing w:line="276" w:lineRule="auto" w:after="120"/>
        <w:ind w:firstLine="425"/>
        <w:jc w:val="both"/>
      </w:pPr>
      <w:r>
        <w:rPr>
          <w:rFonts w:ascii="Times New Roman" w:hAnsi="Times New Roman" w:cs="Times New Roman" w:eastAsia="Times New Roman"/>
          <w:b w:val="0"/>
          <w:sz w:val="24"/>
        </w:rPr>
        <w:t>Si registra altresì una precisazione che gli estensori appongono e che vale per tutti gli indici analitici: i passaggi svolti in regime di seduta segreta non vi sono compresi. Un indice che non comprenda i passaggi segreti non segnala la propria incompletezza in alcun punto del testo indicizzato, e chi lo interroghi non sa quanto gli manchi. È la medesima figura che l'appendice nona ha rilevata nel fondo estero sotto forma di espunzione di estensione non dichiarata, e la si ritrova qui, in un archivio che per il resto dichiara i propri criteri con precisione notevole.</w:t>
      </w:r>
    </w:p>
    <w:p>
      <w:pPr>
        <w:spacing w:line="276" w:lineRule="auto" w:after="120" w:before="240"/>
        <w:ind w:firstLine="0"/>
        <w:jc w:val="left"/>
      </w:pPr>
      <w:r>
        <w:rPr>
          <w:rFonts w:ascii="Times New Roman" w:hAnsi="Times New Roman" w:cs="Times New Roman" w:eastAsia="Times New Roman"/>
          <w:b/>
          <w:sz w:val="24"/>
        </w:rPr>
        <w:t>Parte quinta — La legge, e il suo allargamento</w:t>
      </w:r>
    </w:p>
    <w:p>
      <w:pPr>
        <w:spacing w:line="276" w:lineRule="auto" w:after="120"/>
        <w:ind w:firstLine="425"/>
        <w:jc w:val="both"/>
      </w:pPr>
      <w:r>
        <w:rPr>
          <w:rFonts w:ascii="Times New Roman" w:hAnsi="Times New Roman" w:cs="Times New Roman" w:eastAsia="Times New Roman"/>
          <w:b w:val="0"/>
          <w:sz w:val="24"/>
        </w:rPr>
        <w:t>Il volume riproduce il testo della legge istitutiva del diciassette maggio millenovecentottantotto, numero 172, con le modificazioni introdotte da tre leggi successive, del gennaio millenovecentonovanta, del giugno millenovecentonovantuno e del dicembre millenovecentonovantuno.</w:t>
      </w:r>
    </w:p>
    <w:p>
      <w:pPr>
        <w:spacing w:line="276" w:lineRule="auto" w:after="120"/>
        <w:ind w:firstLine="425"/>
        <w:jc w:val="both"/>
      </w:pPr>
      <w:r>
        <w:rPr>
          <w:rFonts w:ascii="Times New Roman" w:hAnsi="Times New Roman" w:cs="Times New Roman" w:eastAsia="Times New Roman"/>
          <w:b w:val="0"/>
          <w:sz w:val="24"/>
        </w:rPr>
        <w:t>Due disposizioni vanno registrate.</w:t>
      </w:r>
    </w:p>
    <w:p>
      <w:pPr>
        <w:spacing w:line="276" w:lineRule="auto" w:after="120"/>
        <w:ind w:firstLine="425"/>
        <w:jc w:val="both"/>
      </w:pPr>
      <w:r>
        <w:rPr>
          <w:rFonts w:ascii="Times New Roman" w:hAnsi="Times New Roman" w:cs="Times New Roman" w:eastAsia="Times New Roman"/>
          <w:b w:val="0"/>
          <w:sz w:val="24"/>
        </w:rPr>
        <w:t>La prima. L'articolo primo assegna alla Commissione, fra i propri oggetti, l'accertamento dei nuovi elementi che possano integrare le conoscenze acquisite dalla Commissione parlamentare d'inchiesta sulla strage di via Fani e sull'assassinio di Aldo Moro, istituita con legge del ventitré novembre millenovecentosettantanove numero 597. L'inchiesta sul caso non è dunque un filone che la Commissione si diede: è un mandato che la legge le assegnò, e lo assegnò in forma di integrazione di un accertamento anteriore. Ne segue che le due Commissioni sono, per disposizione di legge, in rapporto di continuazione e non di sovrapposizione, e che le loro risultanze vanno lette in quella sequenza.</w:t>
      </w:r>
    </w:p>
    <w:p>
      <w:pPr>
        <w:spacing w:line="276" w:lineRule="auto" w:after="120"/>
        <w:ind w:firstLine="425"/>
        <w:jc w:val="both"/>
      </w:pPr>
      <w:r>
        <w:rPr>
          <w:rFonts w:ascii="Times New Roman" w:hAnsi="Times New Roman" w:cs="Times New Roman" w:eastAsia="Times New Roman"/>
          <w:b w:val="0"/>
          <w:sz w:val="24"/>
        </w:rPr>
        <w:t>La seconda, e di rilievo maggiore per il corpus maggiore che per l'opera. Una nota agli atti dichiara che la legge del giugno millenovecentonovantuno soppresse, alla lettera relativa alle ragioni che impedirono l'individuazione dei responsabili delle stragi, le parole a partire dal 1969, e aggiunse per intero una lettera nuova, avente per oggetto le attività connesse a fatti di strage o a fenomeni eversivi dell'ordinamento costituzionale e le relative responsabilità riconducibili ad apparati, strutture e organizzazioni comunque denominati, o a persone ad essi appartenenti o appartenute.</w:t>
      </w:r>
    </w:p>
    <w:p>
      <w:pPr>
        <w:spacing w:line="276" w:lineRule="auto" w:after="120"/>
        <w:ind w:firstLine="425"/>
        <w:jc w:val="both"/>
      </w:pPr>
      <w:r>
        <w:rPr>
          <w:rFonts w:ascii="Times New Roman" w:hAnsi="Times New Roman" w:cs="Times New Roman" w:eastAsia="Times New Roman"/>
          <w:b w:val="0"/>
          <w:sz w:val="24"/>
        </w:rPr>
        <w:t>Sono due allargamenti simultanei e di natura diversa. Il primo è temporale e rimuove per via legislativa il termine iniziale del millenovecentosessantanove. Il secondo è materiale e introduce come oggetto d'inchiesta la riconducibilità dei fatti ad apparati e strutture comunque denominati.</w:t>
      </w:r>
    </w:p>
    <w:p>
      <w:pPr>
        <w:spacing w:line="276" w:lineRule="auto" w:after="120"/>
        <w:ind w:firstLine="425"/>
        <w:jc w:val="both"/>
      </w:pPr>
      <w:r>
        <w:rPr>
          <w:rFonts w:ascii="Times New Roman" w:hAnsi="Times New Roman" w:cs="Times New Roman" w:eastAsia="Times New Roman"/>
          <w:b w:val="0"/>
          <w:sz w:val="24"/>
        </w:rPr>
        <w:t>Si registra il dato e non se ne trae alcuna inferenza sulle ragioni della modificazione, che le fonti qui impiegate non recano. Si registra però che un mandato d'inchiesta parlamentare fu esteso per legge, a lavori avviati, tanto all'indietro nel tempo quanto verso l'imputabilità ad apparati; e che ciò avvenne nel giugno millenovecentonovantuno, cioè nel periodo nel quale il fascicolo del caso ricevette, secondo le appendici anteriori, la maggior parte delle proprie acquisizioni.</w:t>
      </w:r>
    </w:p>
    <w:p>
      <w:pPr>
        <w:spacing w:line="276" w:lineRule="auto" w:after="120" w:before="240"/>
        <w:ind w:firstLine="0"/>
        <w:jc w:val="left"/>
      </w:pPr>
      <w:r>
        <w:rPr>
          <w:rFonts w:ascii="Times New Roman" w:hAnsi="Times New Roman" w:cs="Times New Roman" w:eastAsia="Times New Roman"/>
          <w:b/>
          <w:sz w:val="24"/>
        </w:rPr>
        <w:t>Parte sesta — Gli elenchi delle persone, e come vadano letti</w:t>
      </w:r>
    </w:p>
    <w:p>
      <w:pPr>
        <w:spacing w:line="276" w:lineRule="auto" w:after="120"/>
        <w:ind w:firstLine="425"/>
        <w:jc w:val="both"/>
      </w:pPr>
      <w:r>
        <w:rPr>
          <w:rFonts w:ascii="Times New Roman" w:hAnsi="Times New Roman" w:cs="Times New Roman" w:eastAsia="Times New Roman"/>
          <w:b w:val="0"/>
          <w:sz w:val="24"/>
        </w:rPr>
        <w:t>Il volume reca l'elenco dei quaranta componenti con l'indicazione del gruppo di appartenenza e, per i sostituiti, la data di cessazione e quella di ingresso; e l'elenco dei collaboratori dei quali la Commissione si avvalse, con la qualifica di ciascuno e la data di inizio o di cessazione del rapporto.</w:t>
      </w:r>
    </w:p>
    <w:p>
      <w:pPr>
        <w:spacing w:line="276" w:lineRule="auto" w:after="120"/>
        <w:ind w:firstLine="425"/>
        <w:jc w:val="both"/>
      </w:pPr>
      <w:r>
        <w:rPr>
          <w:rFonts w:ascii="Times New Roman" w:hAnsi="Times New Roman" w:cs="Times New Roman" w:eastAsia="Times New Roman"/>
          <w:b w:val="0"/>
          <w:sz w:val="24"/>
        </w:rPr>
        <w:t>Si registra il valore di questi due elenchi ai fini della designazione, e si registra insieme la sola disciplina con la quale vadano letti.</w:t>
      </w:r>
    </w:p>
    <w:p>
      <w:pPr>
        <w:spacing w:line="276" w:lineRule="auto" w:after="120"/>
        <w:ind w:firstLine="425"/>
        <w:jc w:val="both"/>
      </w:pPr>
      <w:r>
        <w:rPr>
          <w:rFonts w:ascii="Times New Roman" w:hAnsi="Times New Roman" w:cs="Times New Roman" w:eastAsia="Times New Roman"/>
          <w:b w:val="0"/>
          <w:sz w:val="24"/>
        </w:rPr>
        <w:t>Il valore è alto. Un elenco di componenti con le date consente di stabilire chi fosse in carica quando una deliberazione fu presa, e dunque di designare l'organo di un atto per la propria composizione effettiva anziché per la propria denominazione. Un elenco di collaboratori con le date consente di stabilire chi avesse quale funzione in quale periodo, e dunque di attribuire un elaborato al proprio autore per estremi anziché per congettura.</w:t>
      </w:r>
    </w:p>
    <w:p>
      <w:pPr>
        <w:spacing w:line="276" w:lineRule="auto" w:after="120"/>
        <w:ind w:firstLine="425"/>
        <w:jc w:val="both"/>
      </w:pPr>
      <w:r>
        <w:rPr>
          <w:rFonts w:ascii="Times New Roman" w:hAnsi="Times New Roman" w:cs="Times New Roman" w:eastAsia="Times New Roman"/>
          <w:b w:val="0"/>
          <w:sz w:val="24"/>
        </w:rPr>
        <w:t>La disciplina è quella che l'opera osserva ovunque e che qui va ribadita, poiché il materiale invita a violarla. Un elenco di collaboratori è un elenco di funzioni pubbliche esercitate legittimamente, non un elenco di posizioni. L'elenco reca, con le rispettive date, persone che in altre fasi della vicenda ebbero funzioni inquirenti o giudicanti sui medesimi fatti; la circostanza è di pubblico dominio, è documentata dall'elenco medesimo, ed è ordinaria in un ordinamento nel quale gli organi d'inchiesta si avvalgono di magistrati e di ufficiali. Il presente atto non ne trae, e vieta a sé stesso di trarne, alcuna valutazione. Chi volesse impiegare quegli elenchi altrimenti impiegherebbe uno strumento di designazione come un indizio, ed è precisamente l'errore che l'appendice quinta ha censito nella forma della collocazione scambiata per evidenza.</w:t>
      </w:r>
    </w:p>
    <w:p>
      <w:pPr>
        <w:spacing w:line="276" w:lineRule="auto" w:after="120" w:before="240"/>
        <w:ind w:firstLine="0"/>
        <w:jc w:val="left"/>
      </w:pPr>
      <w:r>
        <w:rPr>
          <w:rFonts w:ascii="Times New Roman" w:hAnsi="Times New Roman" w:cs="Times New Roman" w:eastAsia="Times New Roman"/>
          <w:b/>
          <w:sz w:val="24"/>
        </w:rPr>
        <w:t>Parte settima — Mutazioni di stato e Stati Zero</w:t>
      </w:r>
    </w:p>
    <w:p>
      <w:pPr>
        <w:spacing w:line="276" w:lineRule="auto" w:after="120"/>
        <w:ind w:firstLine="425"/>
        <w:jc w:val="both"/>
      </w:pPr>
      <w:r>
        <w:rPr>
          <w:rFonts w:ascii="Times New Roman" w:hAnsi="Times New Roman" w:cs="Times New Roman" w:eastAsia="Times New Roman"/>
          <w:b w:val="0"/>
          <w:sz w:val="24"/>
        </w:rPr>
        <w:t>Si registra la riclassificazione della tavola esposta alla Parte terza, che è la mutazione più ampia della giornata. Si enuncia la sedicesima regola della risalita. Nessun grado di alcuna proposizione dell'opera muta.</w:t>
      </w:r>
    </w:p>
    <w:p>
      <w:pPr>
        <w:spacing w:line="276" w:lineRule="auto" w:after="120"/>
        <w:ind w:firstLine="425"/>
        <w:jc w:val="both"/>
      </w:pPr>
      <w:r>
        <w:rPr>
          <w:rFonts w:ascii="Times New Roman" w:hAnsi="Times New Roman" w:cs="Times New Roman" w:eastAsia="Times New Roman"/>
          <w:b w:val="0"/>
          <w:sz w:val="24"/>
        </w:rPr>
        <w:t>Si dichiarano gli Stati Zero residui, e sono cinque.</w:t>
      </w:r>
    </w:p>
    <w:p>
      <w:pPr>
        <w:spacing w:line="276" w:lineRule="auto" w:after="120"/>
        <w:ind w:firstLine="425"/>
        <w:jc w:val="both"/>
      </w:pPr>
      <w:r>
        <w:rPr>
          <w:rFonts w:ascii="Times New Roman" w:hAnsi="Times New Roman" w:cs="Times New Roman" w:eastAsia="Times New Roman"/>
          <w:b w:val="0"/>
          <w:sz w:val="24"/>
        </w:rPr>
        <w:t>Primo. La sorte, nella deliberazione di pubblicazione, delle unità del fascicolo che recavano indicazione di riservatezza o di non divulgabilità alla data dell'acquisizione non è dichiarata.</w:t>
      </w:r>
    </w:p>
    <w:p>
      <w:pPr>
        <w:spacing w:line="276" w:lineRule="auto" w:after="120"/>
        <w:ind w:firstLine="425"/>
        <w:jc w:val="both"/>
      </w:pPr>
      <w:r>
        <w:rPr>
          <w:rFonts w:ascii="Times New Roman" w:hAnsi="Times New Roman" w:cs="Times New Roman" w:eastAsia="Times New Roman"/>
          <w:b w:val="0"/>
          <w:sz w:val="24"/>
        </w:rPr>
        <w:t>Secondo. L'indice analitico per argomenti delle deposizioni sul caso non esiste fra quelli pubblicati, e la ricerca nelle deposizioni va condotta sui volumi.</w:t>
      </w:r>
    </w:p>
    <w:p>
      <w:pPr>
        <w:spacing w:line="276" w:lineRule="auto" w:after="120"/>
        <w:ind w:firstLine="425"/>
        <w:jc w:val="both"/>
      </w:pPr>
      <w:r>
        <w:rPr>
          <w:rFonts w:ascii="Times New Roman" w:hAnsi="Times New Roman" w:cs="Times New Roman" w:eastAsia="Times New Roman"/>
          <w:b w:val="0"/>
          <w:sz w:val="24"/>
        </w:rPr>
        <w:t>Terzo. I passaggi svolti in regime di seduta segreta non sono compresi in alcuno degli indici analitici, e la loro estensione non è dichiarata.</w:t>
      </w:r>
    </w:p>
    <w:p>
      <w:pPr>
        <w:spacing w:line="276" w:lineRule="auto" w:after="120"/>
        <w:ind w:firstLine="425"/>
        <w:jc w:val="both"/>
      </w:pPr>
      <w:r>
        <w:rPr>
          <w:rFonts w:ascii="Times New Roman" w:hAnsi="Times New Roman" w:cs="Times New Roman" w:eastAsia="Times New Roman"/>
          <w:b w:val="0"/>
          <w:sz w:val="24"/>
        </w:rPr>
        <w:t>Quarto. Il prospetto analitico delle centodue sedute e l'elenco degli auditi in sede formale sono posseduti e non sono stati collazionati con le ventisette sedute mancanti, operazione che consentirebbe di stabilire l'oggetto di ciascuna di esse. È eseguibile sul posseduto e non è stata compiuta.</w:t>
      </w:r>
    </w:p>
    <w:p>
      <w:pPr>
        <w:spacing w:line="276" w:lineRule="auto" w:after="120"/>
        <w:ind w:firstLine="425"/>
        <w:jc w:val="both"/>
      </w:pPr>
      <w:r>
        <w:rPr>
          <w:rFonts w:ascii="Times New Roman" w:hAnsi="Times New Roman" w:cs="Times New Roman" w:eastAsia="Times New Roman"/>
          <w:b w:val="0"/>
          <w:sz w:val="24"/>
        </w:rPr>
        <w:t>Quinto. Le tre divergenze accertate dall'appendice quinta restano non risolte, e la presente unità non le risolve; essa consente però di prevedere che la loro risoluzione si trovi nel codice della banca-immagini, poiché a un documento corrisponde un codice e a un codice un documento.</w:t>
      </w:r>
    </w:p>
    <w:p>
      <w:pPr>
        <w:spacing w:line="276" w:lineRule="auto" w:after="120"/>
        <w:ind w:firstLine="425"/>
        <w:jc w:val="both"/>
      </w:pPr>
      <w:r>
        <w:rPr>
          <w:rFonts w:ascii="Times New Roman" w:hAnsi="Times New Roman" w:cs="Times New Roman" w:eastAsia="Times New Roman"/>
          <w:b w:val="0"/>
          <w:sz w:val="24"/>
        </w:rPr>
        <w:t>Voce quarantaseiesima — La collazione del prospetto delle sedute. Oggetto: l'oggetto sommario di ciascuna delle ventisette sedute i cui processi verbali non sono posseduti, ricavato dal prospetto analitico; e l'individuazione, fra gli auditi in sede formale, di quelli le cui deposizioni riguardano il caso. Sede: l'apparato dell'Indice generale, posseduto. Chiusura: compilazione dei due elenchi. Smentita: non ricorre. Si segnala che la voce è interamente eseguibile sul posseduto e che il suo costo è di lettura.</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decima e ultima del giorno sul medesimo cantiere. Cantiere: designazione per atto delle fonti. Materia: l'apparato introduttivo dell'Indice generale degli atti della X legislatura.</w:t>
      </w:r>
    </w:p>
    <w:p>
      <w:pPr>
        <w:spacing w:line="276" w:lineRule="auto" w:after="120"/>
        <w:ind w:firstLine="425"/>
        <w:jc w:val="both"/>
      </w:pPr>
      <w:r>
        <w:rPr>
          <w:rFonts w:ascii="Times New Roman" w:hAnsi="Times New Roman" w:cs="Times New Roman" w:eastAsia="Times New Roman"/>
          <w:b w:val="0"/>
          <w:sz w:val="24"/>
        </w:rPr>
        <w:t>Esito positivo: accertamento che il criterio ordinatore dell'archivio informatizzato è l'ente originatore e non l'ente di provenienza; individuazione del sistema di codici della banca-immagini e della sua struttura a cascata per unità documentarie elementari, con spiegazione della forma delle unità derivate rilevate dalle appendici anteriori; accertamento della deliberazione unanime di pubblicazione della totalità dei documenti relativi alle quattro inchieste concluse, quantificati in circa trecentocinquantamila pagine, e della riproduzione a stampa in otto volumi dei resoconti delle centodue sedute; accertamento della pubblicazione in due volumi della documentazione del secondo rinvenimento; riclassificazione conseguente delle voci della tavola relative al fascicolo del caso, da accesso a consultazione; rilevazione dell'asimmetria per la quale l'indice analitico per argomenti delle deposizioni esiste per tre inchieste e non per la quarta; registrazione della modificazione legislativa del giugno millenovecentonovantuno, che soppresse il termine iniziale del millenovecentosessantanove e aggiunse l'oggetto della riconducibilità ad apparati; enunciazione della sedicesima regola della risalita; una voce nuova iscritta in tavola.</w:t>
      </w:r>
    </w:p>
    <w:p>
      <w:pPr>
        <w:spacing w:line="276" w:lineRule="auto" w:after="120"/>
        <w:ind w:firstLine="425"/>
        <w:jc w:val="both"/>
      </w:pPr>
      <w:r>
        <w:rPr>
          <w:rFonts w:ascii="Times New Roman" w:hAnsi="Times New Roman" w:cs="Times New Roman" w:eastAsia="Times New Roman"/>
          <w:b w:val="0"/>
          <w:sz w:val="24"/>
        </w:rPr>
        <w:t>Esito negativo: la sorte delle unità riservate nella deliberazione di pubblicazione non è dichiarata; l'indice analitico delle deposizioni sul caso non esiste; l'estensione dei passaggi segreti esclusi dagli indici non è dichiarata; la collazione del prospetto delle sedute non è compiuta; le tre divergenze restano non risolte.</w:t>
      </w:r>
    </w:p>
    <w:p>
      <w:pPr>
        <w:spacing w:line="276" w:lineRule="auto" w:after="120"/>
        <w:ind w:firstLine="425"/>
        <w:jc w:val="both"/>
      </w:pPr>
      <w:r>
        <w:rPr>
          <w:rFonts w:ascii="Times New Roman" w:hAnsi="Times New Roman" w:cs="Times New Roman" w:eastAsia="Times New Roman"/>
          <w:b w:val="0"/>
          <w:sz w:val="24"/>
        </w:rPr>
        <w:t>Riga di errore proprio, quinta e più grave della giornata. Si è costruita per dodici appendici una disciplina di risalita fondata sulla distinzione fra chi produce un atto e chi lo detiene, senza avere letto la nota introduttiva dell'archivio sul quale la si applicava; e quella nota dichiara la medesima distinzione come proprio criterio ordinatore, formulata nel millenovecentonovantadue e implementata in un sistema di codici. Non è un errore di misura e non si corregge con una cifra: è un errore di presunzione. Si registra che esso è, dei cinque della giornata, l'unico che nessuna regola tratta dai precedenti avrebbe impedito, poiché tutte prescrivevano di interrogare meglio il posseduto e nessuna prescriveva di leggerne la prefazione.</w:t>
      </w:r>
    </w:p>
    <w:p>
      <w:pPr>
        <w:spacing w:line="276" w:lineRule="auto" w:after="120"/>
        <w:ind w:firstLine="425"/>
        <w:jc w:val="both"/>
      </w:pPr>
      <w:r>
        <w:rPr>
          <w:rFonts w:ascii="Times New Roman" w:hAnsi="Times New Roman" w:cs="Times New Roman" w:eastAsia="Times New Roman"/>
          <w:b w:val="0"/>
          <w:sz w:val="24"/>
        </w:rPr>
        <w:t>Riga di avvertenza. Il presente atto non riferisce il contenuto di alcun documento indicizzato. Gli elenchi di persone che esso registra sono strumenti di designazione di atti e di funzioni pubbliche esercitate legittimamente, e non consentono alcuna inferenza di altra natura; il divieto è enunciato in forma espressa alla Parte sesta e vale per l'intero atto.</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DODICESIMA ALLA FASE SETTIMA, lo strumento che esisteva,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Un archivio ordinato reca la propria teoria nella propria nota introduttiva, e quella teoria è stata provata sul materiale che ordina.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