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NONA ALLA FASE SETTIMA</w:t>
      </w:r>
    </w:p>
    <w:p>
      <w:pPr>
        <w:spacing w:line="276" w:lineRule="auto" w:after="120"/>
        <w:ind w:firstLine="0"/>
        <w:jc w:val="center"/>
      </w:pPr>
      <w:r>
        <w:rPr>
          <w:rFonts w:ascii="Times New Roman" w:hAnsi="Times New Roman" w:cs="Times New Roman" w:eastAsia="Times New Roman"/>
          <w:b/>
          <w:sz w:val="24"/>
        </w:rPr>
        <w:t>Due regimi archivistici, misurati</w:t>
      </w:r>
    </w:p>
    <w:p>
      <w:pPr>
        <w:spacing w:line="276" w:lineRule="auto" w:after="120"/>
        <w:ind w:firstLine="0"/>
        <w:jc w:val="center"/>
      </w:pPr>
      <w:r>
        <w:rPr>
          <w:rFonts w:ascii="Times New Roman" w:hAnsi="Times New Roman" w:cs="Times New Roman" w:eastAsia="Times New Roman"/>
          <w:b/>
          <w:sz w:val="24"/>
        </w:rPr>
        <w:t>Il fondo di cento record di un servizio informativo estero</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nona</w:t>
      </w:r>
    </w:p>
    <w:p>
      <w:pPr>
        <w:spacing w:line="276" w:lineRule="auto" w:after="120"/>
        <w:ind w:firstLine="425"/>
        <w:jc w:val="both"/>
      </w:pPr>
      <w:r>
        <w:rPr>
          <w:rFonts w:ascii="Times New Roman" w:hAnsi="Times New Roman" w:cs="Times New Roman" w:eastAsia="Times New Roman"/>
          <w:b w:val="0"/>
          <w:sz w:val="24"/>
        </w:rPr>
        <w:t>La presente è appendice nona alla Fase Settima e opera su un fondo di cento pagine di catalogo provenienti dalla sala di lettura elettronica di un servizio informativo estero, acquisite per copia locale nel marzo duemilaventisei. Come le otto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L'unità è la prima della serie a non essere italiana e la prima a non essere parlamentare, e per questa doppia ragione essa consente ciò che nessuna delle anteriori consentiva: una comparazione fra due regimi archivistici, condotta su misura anziché su impressione. È questo il suo oggetto principale. La sua pertinenza alla materia dell'opera è, come si dirà, limitata, e la limitazione è dichiarata prima di ogni altra cosa.</w:t>
      </w:r>
    </w:p>
    <w:p>
      <w:pPr>
        <w:spacing w:line="276" w:lineRule="auto" w:after="120" w:before="240"/>
        <w:ind w:firstLine="0"/>
        <w:jc w:val="left"/>
      </w:pPr>
      <w:r>
        <w:rPr>
          <w:rFonts w:ascii="Times New Roman" w:hAnsi="Times New Roman" w:cs="Times New Roman" w:eastAsia="Times New Roman"/>
          <w:b/>
          <w:sz w:val="24"/>
        </w:rPr>
        <w:t>Parte prima — Che cosa il fondo sia, e che cosa non sia</w:t>
      </w:r>
    </w:p>
    <w:p>
      <w:pPr>
        <w:spacing w:line="276" w:lineRule="auto" w:after="120"/>
        <w:ind w:firstLine="425"/>
        <w:jc w:val="both"/>
      </w:pPr>
      <w:r>
        <w:rPr>
          <w:rFonts w:ascii="Times New Roman" w:hAnsi="Times New Roman" w:cs="Times New Roman" w:eastAsia="Times New Roman"/>
          <w:b w:val="0"/>
          <w:sz w:val="24"/>
        </w:rPr>
        <w:t>Va detto subito che cosa siano le cento unità, poiché la loro natura è precisamente l'oggetto della distinzione che le otto appendici anteriori hanno costruita.</w:t>
      </w:r>
    </w:p>
    <w:p>
      <w:pPr>
        <w:spacing w:line="276" w:lineRule="auto" w:after="120"/>
        <w:ind w:firstLine="425"/>
        <w:jc w:val="both"/>
      </w:pPr>
      <w:r>
        <w:rPr>
          <w:rFonts w:ascii="Times New Roman" w:hAnsi="Times New Roman" w:cs="Times New Roman" w:eastAsia="Times New Roman"/>
          <w:b w:val="0"/>
          <w:sz w:val="24"/>
        </w:rPr>
        <w:t>Esse non sono documenti. Sono pagine di catalogo: ciascuna reca il titolo dell'atto, il fondo di appartenenza, l'identificativo, la decisione di rilascio, la classificazione originaria, il numero di pagine, la data di creazione del record, la data di rilascio, il numero di sequenza, la data di pubblicazione, il tipo di contenuto, e il nome e la dimensione del file allegato che contiene l'atto. Ciascuna reca inoltre una trascrizione automatica del testo, della quale si dirà.</w:t>
      </w:r>
    </w:p>
    <w:p>
      <w:pPr>
        <w:spacing w:line="276" w:lineRule="auto" w:after="120"/>
        <w:ind w:firstLine="425"/>
        <w:jc w:val="both"/>
      </w:pPr>
      <w:r>
        <w:rPr>
          <w:rFonts w:ascii="Times New Roman" w:hAnsi="Times New Roman" w:cs="Times New Roman" w:eastAsia="Times New Roman"/>
          <w:b w:val="0"/>
          <w:sz w:val="24"/>
        </w:rPr>
        <w:t>Sono dunque, nel linguaggio delle appendici anteriori, cento indirizzi e non cento atti. La distinzione è la medesima enunciata dalla settima regola della risalita, e qui si presenta nella sua forma più pura, poiché l'indirizzo e l'atto sono materialmente separati: il primo è la pagina, il secondo è il file allegato, che non è posseduto.</w:t>
      </w:r>
    </w:p>
    <w:p>
      <w:pPr>
        <w:spacing w:line="276" w:lineRule="auto" w:after="120" w:before="240"/>
        <w:ind w:firstLine="0"/>
        <w:jc w:val="left"/>
      </w:pPr>
      <w:r>
        <w:rPr>
          <w:rFonts w:ascii="Times New Roman" w:hAnsi="Times New Roman" w:cs="Times New Roman" w:eastAsia="Times New Roman"/>
          <w:b/>
          <w:sz w:val="24"/>
        </w:rPr>
        <w:t>Parte seconda — Il censimento, e la sua procedura</w:t>
      </w:r>
    </w:p>
    <w:p>
      <w:pPr>
        <w:spacing w:line="276" w:lineRule="auto" w:after="120"/>
        <w:ind w:firstLine="425"/>
        <w:jc w:val="both"/>
      </w:pPr>
      <w:r>
        <w:rPr>
          <w:rFonts w:ascii="Times New Roman" w:hAnsi="Times New Roman" w:cs="Times New Roman" w:eastAsia="Times New Roman"/>
          <w:b w:val="0"/>
          <w:sz w:val="24"/>
        </w:rPr>
        <w:t>La procedura è dichiarata e riproducibile. Da ciascuna pagina è stato rimosso il codice di presentazione, il testo residuo è stato normalizzato negli spazi, e i campi sono stati estratti per ricerca sulla etichetta che li precede. Le cifre che seguono sono conteggi su cento unità.</w:t>
      </w:r>
    </w:p>
    <w:p>
      <w:pPr>
        <w:spacing w:line="276" w:lineRule="auto" w:after="120"/>
        <w:ind w:firstLine="425"/>
        <w:jc w:val="both"/>
      </w:pPr>
      <w:r>
        <w:rPr>
          <w:rFonts w:ascii="Times New Roman" w:hAnsi="Times New Roman" w:cs="Times New Roman" w:eastAsia="Times New Roman"/>
          <w:b w:val="0"/>
          <w:sz w:val="24"/>
        </w:rPr>
        <w:t>Quanto ai fondi di appartenenza: settantuno unità appartengono al fondo generale, sei a un fondo dedicato a un programma di ricerca, sei a una collezione di studi nazionali, cinque a una collezione documentale, cinque a un servizio di traduzioni, due a un fondo cartografico, due a un bollettino informativo, e le restanti a fondi con una sola occorrenza ciascuno.</w:t>
      </w:r>
    </w:p>
    <w:p>
      <w:pPr>
        <w:spacing w:line="276" w:lineRule="auto" w:after="120"/>
        <w:ind w:firstLine="425"/>
        <w:jc w:val="both"/>
      </w:pPr>
      <w:r>
        <w:rPr>
          <w:rFonts w:ascii="Times New Roman" w:hAnsi="Times New Roman" w:cs="Times New Roman" w:eastAsia="Times New Roman"/>
          <w:b w:val="0"/>
          <w:sz w:val="24"/>
        </w:rPr>
        <w:t>Quanto alla classificazione originaria: ventinove unità recano il codice della non classificazione, ventisette un codice che le pagine non spiegano, venticinque quello del grado intermedio di segretezza, sette quello del grado inferiore, sei quello del grado superiore, quattro un ulteriore codice non spiegato, e due non recano il campo.</w:t>
      </w:r>
    </w:p>
    <w:p>
      <w:pPr>
        <w:spacing w:line="276" w:lineRule="auto" w:after="120"/>
        <w:ind w:firstLine="425"/>
        <w:jc w:val="both"/>
      </w:pPr>
      <w:r>
        <w:rPr>
          <w:rFonts w:ascii="Times New Roman" w:hAnsi="Times New Roman" w:cs="Times New Roman" w:eastAsia="Times New Roman"/>
          <w:b w:val="0"/>
          <w:sz w:val="24"/>
        </w:rPr>
        <w:t>Quanto alla data di pubblicazione dell'atto: quattro unità sono anteriori al millenovecentocinquanta, dodici appartengono al decennio successivo, nove a quello seguente, tredici agli anni settanta, ventiquattro agli anni ottanta, una al decennio duemila. Trentasette unità non recano data di pubblicazione.</w:t>
      </w:r>
    </w:p>
    <w:p>
      <w:pPr>
        <w:spacing w:line="276" w:lineRule="auto" w:after="120"/>
        <w:ind w:firstLine="425"/>
        <w:jc w:val="both"/>
      </w:pPr>
      <w:r>
        <w:rPr>
          <w:rFonts w:ascii="Times New Roman" w:hAnsi="Times New Roman" w:cs="Times New Roman" w:eastAsia="Times New Roman"/>
          <w:b w:val="0"/>
          <w:sz w:val="24"/>
        </w:rPr>
        <w:t>Quanto alla decisione di rilascio: cinquantotto unità recano un codice, ventinove un secondo, otto un terzo, due un quarto, una un quinto, e due non recano il campo.</w:t>
      </w:r>
    </w:p>
    <w:p>
      <w:pPr>
        <w:spacing w:line="276" w:lineRule="auto" w:after="120" w:before="240"/>
        <w:ind w:firstLine="0"/>
        <w:jc w:val="left"/>
      </w:pPr>
      <w:r>
        <w:rPr>
          <w:rFonts w:ascii="Times New Roman" w:hAnsi="Times New Roman" w:cs="Times New Roman" w:eastAsia="Times New Roman"/>
          <w:b/>
          <w:sz w:val="24"/>
        </w:rPr>
        <w:t>Parte terza — La prima misura: l'identificativo</w:t>
      </w:r>
    </w:p>
    <w:p>
      <w:pPr>
        <w:spacing w:line="276" w:lineRule="auto" w:after="120"/>
        <w:ind w:firstLine="425"/>
        <w:jc w:val="both"/>
      </w:pPr>
      <w:r>
        <w:rPr>
          <w:rFonts w:ascii="Times New Roman" w:hAnsi="Times New Roman" w:cs="Times New Roman" w:eastAsia="Times New Roman"/>
          <w:b w:val="0"/>
          <w:sz w:val="24"/>
        </w:rPr>
        <w:t>Tutte e cento le unità recano un identificativo dell'atto, e lo recano in due forme concordanti: nel campo dedicato e nell'indirizzo della risorsa. Nessuna ne è priva.</w:t>
      </w:r>
    </w:p>
    <w:p>
      <w:pPr>
        <w:spacing w:line="276" w:lineRule="auto" w:after="120"/>
        <w:ind w:firstLine="425"/>
        <w:jc w:val="both"/>
      </w:pPr>
      <w:r>
        <w:rPr>
          <w:rFonts w:ascii="Times New Roman" w:hAnsi="Times New Roman" w:cs="Times New Roman" w:eastAsia="Times New Roman"/>
          <w:b w:val="0"/>
          <w:sz w:val="24"/>
        </w:rPr>
        <w:t>Si accosti questa cifra al lavoro delle otto appendici anteriori. La serie parlamentare italiana ha richiesto, per giungere alla designazione per atto di cinquanta unità di un solo fascicolo tematico, la ricognizione di settantacinque processi verbali, la lettura di un indice generale in due parti, la risoluzione dichiarata e falsificabile di una convenzione di numerazione, e l'accertamento di tre divergenze fra descrizioni della medesima unità. Diciannove unità sono rimaste non individuate per l'intera giornata e sono state chiuse soltanto dall'indice generale.</w:t>
      </w:r>
    </w:p>
    <w:p>
      <w:pPr>
        <w:spacing w:line="276" w:lineRule="auto" w:after="120"/>
        <w:ind w:firstLine="425"/>
        <w:jc w:val="both"/>
      </w:pPr>
      <w:r>
        <w:rPr>
          <w:rFonts w:ascii="Times New Roman" w:hAnsi="Times New Roman" w:cs="Times New Roman" w:eastAsia="Times New Roman"/>
          <w:b w:val="0"/>
          <w:sz w:val="24"/>
        </w:rPr>
        <w:t>Il fondo qui esaminato reca cento identificativi su cento, senza alcuna operazione di ricostruzione. Ciò che nella serie italiana è stato l'esito di un lavoro, qui è il punto di partenza.</w:t>
      </w:r>
    </w:p>
    <w:p>
      <w:pPr>
        <w:spacing w:line="276" w:lineRule="auto" w:after="120"/>
        <w:ind w:firstLine="425"/>
        <w:jc w:val="both"/>
      </w:pPr>
      <w:r>
        <w:rPr>
          <w:rFonts w:ascii="Times New Roman" w:hAnsi="Times New Roman" w:cs="Times New Roman" w:eastAsia="Times New Roman"/>
          <w:b w:val="0"/>
          <w:sz w:val="24"/>
        </w:rPr>
        <w:t>Si dichiari con esattezza che cosa questa comparazione stabilisca. Essa non stabilisce nulla sulla lealtà dei due apparati, sulla loro disponibilità o sulla completezza di ciò che rilasciano. Stabilisce che due regimi di catalogazione differiscono quanto alla designazione dell'atto, e che uno dei due la fornisce per costruzione mentre l'altro la lascia ricostruire. È una proprietà del catalogo e non dell'archivio, e non va estesa oltre.</w:t>
      </w:r>
    </w:p>
    <w:p>
      <w:pPr>
        <w:spacing w:line="276" w:lineRule="auto" w:after="120" w:before="240"/>
        <w:ind w:firstLine="0"/>
        <w:jc w:val="left"/>
      </w:pPr>
      <w:r>
        <w:rPr>
          <w:rFonts w:ascii="Times New Roman" w:hAnsi="Times New Roman" w:cs="Times New Roman" w:eastAsia="Times New Roman"/>
          <w:b/>
          <w:sz w:val="24"/>
        </w:rPr>
        <w:t>Parte quarta — La seconda misura: l'estensione dell'espunzione</w:t>
      </w:r>
    </w:p>
    <w:p>
      <w:pPr>
        <w:spacing w:line="276" w:lineRule="auto" w:after="120"/>
        <w:ind w:firstLine="425"/>
        <w:jc w:val="both"/>
      </w:pPr>
      <w:r>
        <w:rPr>
          <w:rFonts w:ascii="Times New Roman" w:hAnsi="Times New Roman" w:cs="Times New Roman" w:eastAsia="Times New Roman"/>
          <w:b w:val="0"/>
          <w:sz w:val="24"/>
        </w:rPr>
        <w:t>Alla misura favorevole se ne accosta una di segno opposto, e la comparazione è utile soltanto se si tengono insieme.</w:t>
      </w:r>
    </w:p>
    <w:p>
      <w:pPr>
        <w:spacing w:line="276" w:lineRule="auto" w:after="120"/>
        <w:ind w:firstLine="425"/>
        <w:jc w:val="both"/>
      </w:pPr>
      <w:r>
        <w:rPr>
          <w:rFonts w:ascii="Times New Roman" w:hAnsi="Times New Roman" w:cs="Times New Roman" w:eastAsia="Times New Roman"/>
          <w:b w:val="0"/>
          <w:sz w:val="24"/>
        </w:rPr>
        <w:t>I codici di decisione di rilascio distinguono, nella pratica corrente di questo fondo, il rilascio integrale dal rilascio parziale. Le pagine non recano la spiegazione dei codici, e il presente atto non la assume da memoria: si iscrive in tavola la verifica della loro tavola di corrispondenza presso la fonte che li impiega.</w:t>
      </w:r>
    </w:p>
    <w:p>
      <w:pPr>
        <w:spacing w:line="276" w:lineRule="auto" w:after="120"/>
        <w:ind w:firstLine="425"/>
        <w:jc w:val="both"/>
      </w:pPr>
      <w:r>
        <w:rPr>
          <w:rFonts w:ascii="Times New Roman" w:hAnsi="Times New Roman" w:cs="Times New Roman" w:eastAsia="Times New Roman"/>
          <w:b w:val="0"/>
          <w:sz w:val="24"/>
        </w:rPr>
        <w:t>Ove la lettura corrente sia esatta, e sotto questa condizione dichiarata, sessantuno unità su cento sono rilasciate in parte e trentasette integralmente, con due unità prive del campo. Quasi due terzi del fondo sarebbero dunque rilasciati con espunzioni.</w:t>
      </w:r>
    </w:p>
    <w:p>
      <w:pPr>
        <w:spacing w:line="276" w:lineRule="auto" w:after="120"/>
        <w:ind w:firstLine="425"/>
        <w:jc w:val="both"/>
      </w:pPr>
      <w:r>
        <w:rPr>
          <w:rFonts w:ascii="Times New Roman" w:hAnsi="Times New Roman" w:cs="Times New Roman" w:eastAsia="Times New Roman"/>
          <w:b w:val="0"/>
          <w:sz w:val="24"/>
        </w:rPr>
        <w:t>Il punto decisivo non è la proporzione ma ciò che manca accanto ad essa. Nessuna delle pagine dichiara l'estensione della porzione non rilasciata. Un'unità di ventuno pagine rilasciata in parte e un'unità di ventuno pagine rilasciata quasi per intero recano il medesimo codice, e nulla le distingue. Il lettore sa che qualcosa è stato tolto e non sa quanto.</w:t>
      </w:r>
    </w:p>
    <w:p>
      <w:pPr>
        <w:spacing w:line="276" w:lineRule="auto" w:after="120"/>
        <w:ind w:firstLine="425"/>
        <w:jc w:val="both"/>
      </w:pPr>
      <w:r>
        <w:rPr>
          <w:rFonts w:ascii="Times New Roman" w:hAnsi="Times New Roman" w:cs="Times New Roman" w:eastAsia="Times New Roman"/>
          <w:b w:val="0"/>
          <w:sz w:val="24"/>
        </w:rPr>
        <w:t>Si accosti a ciò l'espunzione documentata dall'appendice quarta sull'unità quattordicesima del fascicolo italiano. Là un organo espunse alcune parti, ne dichiarò l'espunzione, la datò, produsse la versione priva delle parti espunte e la trasmise a sede determinata, conservando accanto ad essa la versione integrale nella medesima serie. L'oggetto restò intatto e la sottrazione fu resa visibile.</w:t>
      </w:r>
    </w:p>
    <w:p>
      <w:pPr>
        <w:spacing w:line="276" w:lineRule="auto" w:after="120"/>
        <w:ind w:firstLine="425"/>
        <w:jc w:val="both"/>
      </w:pPr>
      <w:r>
        <w:rPr>
          <w:rFonts w:ascii="Times New Roman" w:hAnsi="Times New Roman" w:cs="Times New Roman" w:eastAsia="Times New Roman"/>
          <w:b w:val="0"/>
          <w:sz w:val="24"/>
        </w:rPr>
        <w:t>Se ne trae la regola, che è la tredicesima della serie e chiude la comparazione.</w:t>
      </w:r>
    </w:p>
    <w:p>
      <w:pPr>
        <w:spacing w:line="276" w:lineRule="auto" w:after="120"/>
        <w:ind w:firstLine="425"/>
        <w:jc w:val="both"/>
      </w:pPr>
      <w:r>
        <w:rPr>
          <w:rFonts w:ascii="Times New Roman" w:hAnsi="Times New Roman" w:cs="Times New Roman" w:eastAsia="Times New Roman"/>
          <w:b w:val="0"/>
          <w:sz w:val="24"/>
        </w:rPr>
        <w:t>Tredicesima regola della risalita. Un fondo che designi perfettamente e non dichiari l'estensione delle proprie espunzioni non è più verificabile di uno che designi male e le dichiari. Le due imperfezioni cadono su piani diversi e nessuna surroga l'altra: la prima impedisce di trovare l'atto, la seconda impedisce di sapere quanto dell'atto si stia leggendo. Un catalogo esemplare su un testo di estensione ignota produce una precisione apparente che è più pericolosa dell'imprecisione dichiarata, poiché invita a fidarsi.</w:t>
      </w:r>
    </w:p>
    <w:p>
      <w:pPr>
        <w:spacing w:line="276" w:lineRule="auto" w:after="120" w:before="240"/>
        <w:ind w:firstLine="0"/>
        <w:jc w:val="left"/>
      </w:pPr>
      <w:r>
        <w:rPr>
          <w:rFonts w:ascii="Times New Roman" w:hAnsi="Times New Roman" w:cs="Times New Roman" w:eastAsia="Times New Roman"/>
          <w:b/>
          <w:sz w:val="24"/>
        </w:rPr>
        <w:t>Parte quinta — La terza misura: la datazione e la leggibilità</w:t>
      </w:r>
    </w:p>
    <w:p>
      <w:pPr>
        <w:spacing w:line="276" w:lineRule="auto" w:after="120"/>
        <w:ind w:firstLine="425"/>
        <w:jc w:val="both"/>
      </w:pPr>
      <w:r>
        <w:rPr>
          <w:rFonts w:ascii="Times New Roman" w:hAnsi="Times New Roman" w:cs="Times New Roman" w:eastAsia="Times New Roman"/>
          <w:b w:val="0"/>
          <w:sz w:val="24"/>
        </w:rPr>
        <w:t>Due ulteriori difetti del fondo vanno registrati, poiché entrambi incidono sull'impiego che l'opera potrebbe farne.</w:t>
      </w:r>
    </w:p>
    <w:p>
      <w:pPr>
        <w:spacing w:line="276" w:lineRule="auto" w:after="120"/>
        <w:ind w:firstLine="425"/>
        <w:jc w:val="both"/>
      </w:pPr>
      <w:r>
        <w:rPr>
          <w:rFonts w:ascii="Times New Roman" w:hAnsi="Times New Roman" w:cs="Times New Roman" w:eastAsia="Times New Roman"/>
          <w:b w:val="0"/>
          <w:sz w:val="24"/>
        </w:rPr>
        <w:t>Il primo è la datazione. Trentasette unità su cento non recano data di pubblicazione dell'atto. Un atto identificato e non datato è reperibile e non collocabile: esso non entra in alcuna analisi temporale, non consente di stabilire che cosa un apparato ritenesse in un momento determinato, e per la classe alla quale queste unità appartengono quella è precisamente la sola proposizione che esse possano sostenere al grado massimo. Un atto di questa classe privo di data non conferisce grado alcuno, e va trattato come tale.</w:t>
      </w:r>
    </w:p>
    <w:p>
      <w:pPr>
        <w:spacing w:line="276" w:lineRule="auto" w:after="120"/>
        <w:ind w:firstLine="425"/>
        <w:jc w:val="both"/>
      </w:pPr>
      <w:r>
        <w:rPr>
          <w:rFonts w:ascii="Times New Roman" w:hAnsi="Times New Roman" w:cs="Times New Roman" w:eastAsia="Times New Roman"/>
          <w:b w:val="0"/>
          <w:sz w:val="24"/>
        </w:rPr>
        <w:t>Il secondo è la leggibilità. Ciascuna pagina reca una trascrizione automatica del testo dell'atto, e la sua qualità è, nei campioni esaminati, tale da non consentire la lettura continua. Si è esaminato per intero il testo trascritto dell'unità più pertinente alla materia dell'opera, ed esso risulta corrotto al punto che l'oggetto del messaggio non è ricostruibile dalla trascrizione.</w:t>
      </w:r>
    </w:p>
    <w:p>
      <w:pPr>
        <w:spacing w:line="276" w:lineRule="auto" w:after="120"/>
        <w:ind w:firstLine="425"/>
        <w:jc w:val="both"/>
      </w:pPr>
      <w:r>
        <w:rPr>
          <w:rFonts w:ascii="Times New Roman" w:hAnsi="Times New Roman" w:cs="Times New Roman" w:eastAsia="Times New Roman"/>
          <w:b w:val="0"/>
          <w:sz w:val="24"/>
        </w:rPr>
        <w:t>Se ne trae una conseguenza operativa e non teorica: per questo fondo, la pagina di catalogo consente di individuare l'atto e non consente in alcun caso di leggerlo. Chi ne citasse il contenuto sulla base della trascrizione citerebbe un artefatto di riconoscimento ottico.</w:t>
      </w:r>
    </w:p>
    <w:p>
      <w:pPr>
        <w:spacing w:line="276" w:lineRule="auto" w:after="120" w:before="240"/>
        <w:ind w:firstLine="0"/>
        <w:jc w:val="left"/>
      </w:pPr>
      <w:r>
        <w:rPr>
          <w:rFonts w:ascii="Times New Roman" w:hAnsi="Times New Roman" w:cs="Times New Roman" w:eastAsia="Times New Roman"/>
          <w:b/>
          <w:sz w:val="24"/>
        </w:rPr>
        <w:t>Parte sesta — La pertinenza, dichiarata per difetto</w:t>
      </w:r>
    </w:p>
    <w:p>
      <w:pPr>
        <w:spacing w:line="276" w:lineRule="auto" w:after="120"/>
        <w:ind w:firstLine="425"/>
        <w:jc w:val="both"/>
      </w:pPr>
      <w:r>
        <w:rPr>
          <w:rFonts w:ascii="Times New Roman" w:hAnsi="Times New Roman" w:cs="Times New Roman" w:eastAsia="Times New Roman"/>
          <w:b w:val="0"/>
          <w:sz w:val="24"/>
        </w:rPr>
        <w:t>Si dichiara la pertinenza del fondo alla materia dell'opera, e la si dichiara nel verso che riduce anziché in quello che amplia.</w:t>
      </w:r>
    </w:p>
    <w:p>
      <w:pPr>
        <w:spacing w:line="276" w:lineRule="auto" w:after="120"/>
        <w:ind w:firstLine="425"/>
        <w:jc w:val="both"/>
      </w:pPr>
      <w:r>
        <w:rPr>
          <w:rFonts w:ascii="Times New Roman" w:hAnsi="Times New Roman" w:cs="Times New Roman" w:eastAsia="Times New Roman"/>
          <w:b w:val="0"/>
          <w:sz w:val="24"/>
        </w:rPr>
        <w:t>Delle cento unità, sedici recano nel titolo un riferimento all'Italia, al terrorismo o a materie contigue. Le restanti ottantaquattro concernono materie estranee tanto all'opera quanto al corpus maggiore, ovvero vi si collegano soltanto per il tramite di inferenze che l'opera non compie: fra esse figurano studi di geografia fisica, rassegne di indicatori energetici, repertori di capi di Stato, raccolte di traduzioni, e una serie di abstract su materie parapsicologiche.</w:t>
      </w:r>
    </w:p>
    <w:p>
      <w:pPr>
        <w:spacing w:line="276" w:lineRule="auto" w:after="120"/>
        <w:ind w:firstLine="425"/>
        <w:jc w:val="both"/>
      </w:pPr>
      <w:r>
        <w:rPr>
          <w:rFonts w:ascii="Times New Roman" w:hAnsi="Times New Roman" w:cs="Times New Roman" w:eastAsia="Times New Roman"/>
          <w:b w:val="0"/>
          <w:sz w:val="24"/>
        </w:rPr>
        <w:t>Delle sedici, la maggior parte appartiene al corpus maggiore e non all'opera: rilevazioni cartografiche, repertori toponomastici, studi su trasporti e telecomunicazioni, rassegne sulle vendite di armamenti, note su formazioni politiche degli anni cinquanta.</w:t>
      </w:r>
    </w:p>
    <w:p>
      <w:pPr>
        <w:spacing w:line="276" w:lineRule="auto" w:after="120"/>
        <w:ind w:firstLine="425"/>
        <w:jc w:val="both"/>
      </w:pPr>
      <w:r>
        <w:rPr>
          <w:rFonts w:ascii="Times New Roman" w:hAnsi="Times New Roman" w:cs="Times New Roman" w:eastAsia="Times New Roman"/>
          <w:b w:val="0"/>
          <w:sz w:val="24"/>
        </w:rPr>
        <w:t>Una sola unità cade nel periodo e nella materia adiacenti al caso, ed è quella della quale si dirà alla Parte settima.</w:t>
      </w:r>
    </w:p>
    <w:p>
      <w:pPr>
        <w:spacing w:line="276" w:lineRule="auto" w:after="120"/>
        <w:ind w:firstLine="425"/>
        <w:jc w:val="both"/>
      </w:pPr>
      <w:r>
        <w:rPr>
          <w:rFonts w:ascii="Times New Roman" w:hAnsi="Times New Roman" w:cs="Times New Roman" w:eastAsia="Times New Roman"/>
          <w:b w:val="0"/>
          <w:sz w:val="24"/>
        </w:rPr>
        <w:t>Si registra questa proporzione perché essa corregge, nel verso della riduzione, l'aspettativa che un fondo di cento documenti di un servizio informativo estero contenga materia sul caso. Non la contiene, salvo per un'unità. La constatazione è di pieno valore ed è, in questa giornata, la sesta di specie negativa.</w:t>
      </w:r>
    </w:p>
    <w:p>
      <w:pPr>
        <w:spacing w:line="276" w:lineRule="auto" w:after="120" w:before="240"/>
        <w:ind w:firstLine="0"/>
        <w:jc w:val="left"/>
      </w:pPr>
      <w:r>
        <w:rPr>
          <w:rFonts w:ascii="Times New Roman" w:hAnsi="Times New Roman" w:cs="Times New Roman" w:eastAsia="Times New Roman"/>
          <w:b/>
          <w:sz w:val="24"/>
        </w:rPr>
        <w:t>Parte settima — Un atto del 28 gennaio 1982, e il fondo nel quale è collocato</w:t>
      </w:r>
    </w:p>
    <w:p>
      <w:pPr>
        <w:spacing w:line="276" w:lineRule="auto" w:after="120"/>
        <w:ind w:firstLine="425"/>
        <w:jc w:val="both"/>
      </w:pPr>
      <w:r>
        <w:rPr>
          <w:rFonts w:ascii="Times New Roman" w:hAnsi="Times New Roman" w:cs="Times New Roman" w:eastAsia="Times New Roman"/>
          <w:b w:val="0"/>
          <w:sz w:val="24"/>
        </w:rPr>
        <w:t>L'unità pertinente è un rapporto informativo di due pagine, con classificazione originaria non spiegata dai codici, rilasciato in parte, recante data di pubblicazione ventotto gennaio millenovecentottantadue, e concernente la liberazione di un ufficiale straniero rapito in Italia dalla medesima organizzazione che condusse i fatti del millenovecentosettantotto.</w:t>
      </w:r>
    </w:p>
    <w:p>
      <w:pPr>
        <w:spacing w:line="276" w:lineRule="auto" w:after="120"/>
        <w:ind w:firstLine="425"/>
        <w:jc w:val="both"/>
      </w:pPr>
      <w:r>
        <w:rPr>
          <w:rFonts w:ascii="Times New Roman" w:hAnsi="Times New Roman" w:cs="Times New Roman" w:eastAsia="Times New Roman"/>
          <w:b w:val="0"/>
          <w:sz w:val="24"/>
        </w:rPr>
        <w:t>La data coincide con quella della liberazione. L'atto è dunque contemporaneo al fatto, e appartiene per ciò alla classe che il repertorio dell'opera qualifica come stime e comunicazioni di apparato: grado massimo quanto a ciò che l'apparato riferiva in quella data, grado minimo quanto ai fatti del mondo asseriti, salvo riscontro autonomo.</w:t>
      </w:r>
    </w:p>
    <w:p>
      <w:pPr>
        <w:spacing w:line="276" w:lineRule="auto" w:after="120"/>
        <w:ind w:firstLine="425"/>
        <w:jc w:val="both"/>
      </w:pPr>
      <w:r>
        <w:rPr>
          <w:rFonts w:ascii="Times New Roman" w:hAnsi="Times New Roman" w:cs="Times New Roman" w:eastAsia="Times New Roman"/>
          <w:b w:val="0"/>
          <w:sz w:val="24"/>
        </w:rPr>
        <w:t>Va registrata una circostanza relativa alla sua collocazione, e va registrata con la cautela che essa impone. L'unità appartiene, secondo il campo del fondo, a una collezione dedicata a un programma di ricerca dell'apparato estero su materie estranee all'informazione militare corrente. Sei unità del fondo appartengono a quella collezione.</w:t>
      </w:r>
    </w:p>
    <w:p>
      <w:pPr>
        <w:spacing w:line="276" w:lineRule="auto" w:after="120"/>
        <w:ind w:firstLine="425"/>
        <w:jc w:val="both"/>
      </w:pPr>
      <w:r>
        <w:rPr>
          <w:rFonts w:ascii="Times New Roman" w:hAnsi="Times New Roman" w:cs="Times New Roman" w:eastAsia="Times New Roman"/>
          <w:b w:val="0"/>
          <w:sz w:val="24"/>
        </w:rPr>
        <w:t>Si dichiari che cosa questo stabilisca. Stabilisce che il record è archiviato in quella collezione. Non stabilisce nulla sul contenuto dell'atto, nulla sul metodo con il quale l'informazione fu acquisita, e nulla sul rapporto fra l'atto e l'oggetto della collezione. Un campo di collocazione è, come si è detto per le chiavi di catalogo del fascicolo italiano, un indirizzo; e un indirizzo non descrive ciò che risiede all'indirizzo. È precisamente il genere di dato che, riferito senza questa avvertenza, produce inferenze che nessuna fonte sostiene, e la si appone qui in forma espressa.</w:t>
      </w:r>
    </w:p>
    <w:p>
      <w:pPr>
        <w:spacing w:line="276" w:lineRule="auto" w:after="120"/>
        <w:ind w:firstLine="425"/>
        <w:jc w:val="both"/>
      </w:pPr>
      <w:r>
        <w:rPr>
          <w:rFonts w:ascii="Times New Roman" w:hAnsi="Times New Roman" w:cs="Times New Roman" w:eastAsia="Times New Roman"/>
          <w:b w:val="0"/>
          <w:sz w:val="24"/>
        </w:rPr>
        <w:t>Si segnala altresì che la trascrizione automatica di questa unità è, fra quelle esaminate, la più degradata, e che il contenuto del messaggio non ne è ricavabile. L'atto va domandato nel proprio allegato.</w:t>
      </w:r>
    </w:p>
    <w:p>
      <w:pPr>
        <w:spacing w:line="276" w:lineRule="auto" w:after="120" w:before="240"/>
        <w:ind w:firstLine="0"/>
        <w:jc w:val="left"/>
      </w:pPr>
      <w:r>
        <w:rPr>
          <w:rFonts w:ascii="Times New Roman" w:hAnsi="Times New Roman" w:cs="Times New Roman" w:eastAsia="Times New Roman"/>
          <w:b/>
          <w:sz w:val="24"/>
        </w:rPr>
        <w:t>Parte ottava — Le voci iscritte</w:t>
      </w:r>
    </w:p>
    <w:p>
      <w:pPr>
        <w:spacing w:line="276" w:lineRule="auto" w:after="120"/>
        <w:ind w:firstLine="425"/>
        <w:jc w:val="both"/>
      </w:pPr>
      <w:r>
        <w:rPr>
          <w:rFonts w:ascii="Times New Roman" w:hAnsi="Times New Roman" w:cs="Times New Roman" w:eastAsia="Times New Roman"/>
          <w:b w:val="0"/>
          <w:sz w:val="24"/>
        </w:rPr>
        <w:t>Voce trentanovesima — Gli originali delle sedici unità pertinenti. Oggetto: i file allegati alle sedici pagine di catalogo che recano riferimento all'Italia o a materie contigue, domandati per identificativo. Sede: la sala di lettura elettronica del servizio che li rilascia; gli identificativi sono posseduti tutti e sedici. Chiusura: acquisizione dei sedici allegati. Smentita: non ricorre quanto al reperimento; si segnala che l'acquisizione non chiude la Voce quarantesima, poiché un allegato rilasciato in parte non dichiara di per sé l'estensione della parte non rilasciata.</w:t>
      </w:r>
    </w:p>
    <w:p>
      <w:pPr>
        <w:spacing w:line="276" w:lineRule="auto" w:after="120"/>
        <w:ind w:firstLine="425"/>
        <w:jc w:val="both"/>
      </w:pPr>
      <w:r>
        <w:rPr>
          <w:rFonts w:ascii="Times New Roman" w:hAnsi="Times New Roman" w:cs="Times New Roman" w:eastAsia="Times New Roman"/>
          <w:b w:val="0"/>
          <w:sz w:val="24"/>
        </w:rPr>
        <w:t>Voce quarantesima — La misura dell'espunzione. Oggetto: per le unità rilasciate in parte, l'estensione della porzione non rilasciata, e la tavola di corrispondenza dei codici di decisione di rilascio impiegati dal fondo. Sede: la fonte che pubblica il fondo e le sue note esplicative. Chiusura: acquisizione della tavola dei codici e, per le sedici unità pertinenti, della misura della porzione espunta. Smentita: la constatazione che il fondo non dichiari in alcuna forma l'estensione delle espunzioni, nel qual caso la voce si chiude con Stato Zero e la classe intera va trattata come testo di estensione ignota.</w:t>
      </w:r>
    </w:p>
    <w:p>
      <w:pPr>
        <w:spacing w:line="276" w:lineRule="auto" w:after="120"/>
        <w:ind w:firstLine="425"/>
        <w:jc w:val="both"/>
      </w:pPr>
      <w:r>
        <w:rPr>
          <w:rFonts w:ascii="Times New Roman" w:hAnsi="Times New Roman" w:cs="Times New Roman" w:eastAsia="Times New Roman"/>
          <w:b w:val="0"/>
          <w:sz w:val="24"/>
        </w:rPr>
        <w:t>Voce quarantunesima — Le unità prive di data. Oggetto: la data di pubblicazione delle trentasette unità che non la recano, ricavabile dall'atto ove l'atto la porti. Sede: i file allegati. Chiusura: datazione delle unità pertinenti fra le trentasette. Smentita: la constatazione che l'atto medesimo non rechi data, nel qual caso l'unità resta non collocabile e non conferisce grado alcuno.</w:t>
      </w:r>
    </w:p>
    <w:p>
      <w:pPr>
        <w:spacing w:line="276" w:lineRule="auto" w:after="120"/>
        <w:ind w:firstLine="425"/>
        <w:jc w:val="both"/>
      </w:pPr>
      <w:r>
        <w:rPr>
          <w:rFonts w:ascii="Times New Roman" w:hAnsi="Times New Roman" w:cs="Times New Roman" w:eastAsia="Times New Roman"/>
          <w:b w:val="0"/>
          <w:sz w:val="24"/>
        </w:rPr>
        <w:t>Voce quarantaduesima — L'atto del ventotto gennaio millenovecentottantadue. Oggetto: il file allegato all'unità pertinente al caso, e la ragione della sua collocazione nella collezione che lo ospita. Sede: la sala di lettura elettronica; l'identificativo è posseduto. Chiusura: acquisizione dell'allegato. Smentita: la constatazione che l'atto sia estraneo alla materia dell'opera, esito che la sola pagina di catalogo non consente di escludere né di affermare.</w:t>
      </w:r>
    </w:p>
    <w:p>
      <w:pPr>
        <w:spacing w:line="276" w:lineRule="auto" w:after="120" w:before="240"/>
        <w:ind w:firstLine="0"/>
        <w:jc w:val="left"/>
      </w:pPr>
      <w:r>
        <w:rPr>
          <w:rFonts w:ascii="Times New Roman" w:hAnsi="Times New Roman" w:cs="Times New Roman" w:eastAsia="Times New Roman"/>
          <w:b/>
          <w:sz w:val="24"/>
        </w:rPr>
        <w:t>Parte nona — Stati Zero</w:t>
      </w:r>
    </w:p>
    <w:p>
      <w:pPr>
        <w:spacing w:line="276" w:lineRule="auto" w:after="120"/>
        <w:ind w:firstLine="425"/>
        <w:jc w:val="both"/>
      </w:pPr>
      <w:r>
        <w:rPr>
          <w:rFonts w:ascii="Times New Roman" w:hAnsi="Times New Roman" w:cs="Times New Roman" w:eastAsia="Times New Roman"/>
          <w:b w:val="0"/>
          <w:sz w:val="24"/>
        </w:rPr>
        <w:t>Primo. Nessuno dei cento allegati è posseduto. Si possiedono cento indirizzi e nessun atto.</w:t>
      </w:r>
    </w:p>
    <w:p>
      <w:pPr>
        <w:spacing w:line="276" w:lineRule="auto" w:after="120"/>
        <w:ind w:firstLine="425"/>
        <w:jc w:val="both"/>
      </w:pPr>
      <w:r>
        <w:rPr>
          <w:rFonts w:ascii="Times New Roman" w:hAnsi="Times New Roman" w:cs="Times New Roman" w:eastAsia="Times New Roman"/>
          <w:b w:val="0"/>
          <w:sz w:val="24"/>
        </w:rPr>
        <w:t>Secondo. La tavola di corrispondenza dei codici di decisione di rilascio non è posseduta, e le cifre della Parte quarta sono pertanto condizionate alla lettura corrente di quei codici, dichiarata come condizione.</w:t>
      </w:r>
    </w:p>
    <w:p>
      <w:pPr>
        <w:spacing w:line="276" w:lineRule="auto" w:after="120"/>
        <w:ind w:firstLine="425"/>
        <w:jc w:val="both"/>
      </w:pPr>
      <w:r>
        <w:rPr>
          <w:rFonts w:ascii="Times New Roman" w:hAnsi="Times New Roman" w:cs="Times New Roman" w:eastAsia="Times New Roman"/>
          <w:b w:val="0"/>
          <w:sz w:val="24"/>
        </w:rPr>
        <w:t>Terzo. L'estensione delle espunzioni non è dichiarata da alcuna delle pagine e non è altrimenti nota.</w:t>
      </w:r>
    </w:p>
    <w:p>
      <w:pPr>
        <w:spacing w:line="276" w:lineRule="auto" w:after="120"/>
        <w:ind w:firstLine="425"/>
        <w:jc w:val="both"/>
      </w:pPr>
      <w:r>
        <w:rPr>
          <w:rFonts w:ascii="Times New Roman" w:hAnsi="Times New Roman" w:cs="Times New Roman" w:eastAsia="Times New Roman"/>
          <w:b w:val="0"/>
          <w:sz w:val="24"/>
        </w:rPr>
        <w:t>Quarto. Trentasette unità restano non datate.</w:t>
      </w:r>
    </w:p>
    <w:p>
      <w:pPr>
        <w:spacing w:line="276" w:lineRule="auto" w:after="120"/>
        <w:ind w:firstLine="425"/>
        <w:jc w:val="both"/>
      </w:pPr>
      <w:r>
        <w:rPr>
          <w:rFonts w:ascii="Times New Roman" w:hAnsi="Times New Roman" w:cs="Times New Roman" w:eastAsia="Times New Roman"/>
          <w:b w:val="0"/>
          <w:sz w:val="24"/>
        </w:rPr>
        <w:t>Quinto. Il contenuto di nessuna unità è stato letto, e per questo fondo la trascrizione automatica non surroga la lettura.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settima del giorno sul medesimo cantiere. Cantiere: designazione per atto delle fonti. Materia: un fondo di cento pagine di catalogo di un servizio informativo estero, e la comparazione fra due regimi archivistici.</w:t>
      </w:r>
    </w:p>
    <w:p>
      <w:pPr>
        <w:spacing w:line="276" w:lineRule="auto" w:after="120"/>
        <w:ind w:firstLine="425"/>
        <w:jc w:val="both"/>
      </w:pPr>
      <w:r>
        <w:rPr>
          <w:rFonts w:ascii="Times New Roman" w:hAnsi="Times New Roman" w:cs="Times New Roman" w:eastAsia="Times New Roman"/>
          <w:b w:val="0"/>
          <w:sz w:val="24"/>
        </w:rPr>
        <w:t>Esito positivo: censimento delle cento unità per fondo di appartenenza, classificazione originaria, decennio di pubblicazione e decisione di rilascio, con procedura dichiarata; accertamento che tutte e cento recano identificativo dell'atto in doppia forma concordante, contro le cinquanta unità italiane per le quali la designazione ha richiesto l'intera giornata; accertamento che l'estensione delle espunzioni non è dichiarata in alcun caso, contro l'espunzione italiana dichiarata, datata e affiancata dalla versione integrale; enunciazione della tredicesima regola della risalita; individuazione di sedici unità pertinenti e di una sola adiacente alla materia dell'opera; quattro voci nuove iscritte in tavola.</w:t>
      </w:r>
    </w:p>
    <w:p>
      <w:pPr>
        <w:spacing w:line="276" w:lineRule="auto" w:after="120"/>
        <w:ind w:firstLine="425"/>
        <w:jc w:val="both"/>
      </w:pPr>
      <w:r>
        <w:rPr>
          <w:rFonts w:ascii="Times New Roman" w:hAnsi="Times New Roman" w:cs="Times New Roman" w:eastAsia="Times New Roman"/>
          <w:b w:val="0"/>
          <w:sz w:val="24"/>
        </w:rPr>
        <w:t>Esito negativo: nessun allegato posseduto; tavola dei codici non posseduta; estensione delle espunzioni ignota; trentasette unità non datate; trascrizioni automatiche non leggibili.</w:t>
      </w:r>
    </w:p>
    <w:p>
      <w:pPr>
        <w:spacing w:line="276" w:lineRule="auto" w:after="120"/>
        <w:ind w:firstLine="425"/>
        <w:jc w:val="both"/>
      </w:pPr>
      <w:r>
        <w:rPr>
          <w:rFonts w:ascii="Times New Roman" w:hAnsi="Times New Roman" w:cs="Times New Roman" w:eastAsia="Times New Roman"/>
          <w:b w:val="0"/>
          <w:sz w:val="24"/>
        </w:rPr>
        <w:t>Riga di proporzione dichiarata. Ottantaquattro unità su cento sono estranee tanto all'opera quanto al corpus maggiore. Si registra la cifra perché un fondo proveniente da un servizio informativo estero suscita, per la sola provenienza, un'aspettativa di pertinenza che il conteggio non conferma. La provenienza di un fondo non è un indizio sul suo contenuto, ed è lo stesso errore che l'appendice quinta ha censito sotto altra forma: la collocazione non è mai, di per sé, evidenza.</w:t>
      </w:r>
    </w:p>
    <w:p>
      <w:pPr>
        <w:spacing w:line="276" w:lineRule="auto" w:after="120"/>
        <w:ind w:firstLine="425"/>
        <w:jc w:val="both"/>
      </w:pPr>
      <w:r>
        <w:rPr>
          <w:rFonts w:ascii="Times New Roman" w:hAnsi="Times New Roman" w:cs="Times New Roman" w:eastAsia="Times New Roman"/>
          <w:b w:val="0"/>
          <w:sz w:val="24"/>
        </w:rPr>
        <w:t>Riga di avvertenza. Il presente atto non riferisce il contenuto di alcuna delle cento unità, poiché non lo conosce. La collocazione di un record in una collezione determinata è un fatto di archiviazione e non una proposizione sul contenuto dell'atto archiviato, e si è dichiarato espressamente al punto in cui la circostanza ricorre. Nessuna persona è nominata nel presente atto.</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NONA ALLA FASE SETTIMA, due regimi archivistici misurati, quindici agosto duemilaventisei. I settanta Capitoli restano settanta. Le redazioni anteriori non sono modificate: le pietre deposte non si scalpellano. Resta sovrana la Regola di Ferro: dove la fonte documenta, l'opera certifica; dove la fonte tace, l'opera indaga e non afferma. Un catalogo esemplare su un testo di estensione ignota produce una precisione apparente, ed è più pericolosa dell'imprecisione dichiarata perché invita a fidarsi.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