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OTTAVA ALLA FASE SETTIMA</w:t>
      </w:r>
    </w:p>
    <w:p>
      <w:pPr>
        <w:spacing w:line="276" w:lineRule="auto" w:after="120"/>
        <w:ind w:firstLine="0"/>
        <w:jc w:val="center"/>
      </w:pPr>
      <w:r>
        <w:rPr>
          <w:rFonts w:ascii="Times New Roman" w:hAnsi="Times New Roman" w:cs="Times New Roman" w:eastAsia="Times New Roman"/>
          <w:b/>
          <w:sz w:val="24"/>
        </w:rPr>
        <w:t>Il canale orientale, la quarta persona e uno Stato Zero formalizzato da quattro apparati</w:t>
      </w:r>
    </w:p>
    <w:p>
      <w:pPr>
        <w:spacing w:line="276" w:lineRule="auto" w:after="120"/>
        <w:ind w:firstLine="0"/>
        <w:jc w:val="center"/>
      </w:pPr>
      <w:r>
        <w:rPr>
          <w:rFonts w:ascii="Times New Roman" w:hAnsi="Times New Roman" w:cs="Times New Roman" w:eastAsia="Times New Roman"/>
          <w:b/>
          <w:sz w:val="24"/>
        </w:rPr>
        <w:t>Sesta relazione semestrale, XIII legislatura, documento XXIII numero 37</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ottava</w:t>
      </w:r>
    </w:p>
    <w:p>
      <w:pPr>
        <w:spacing w:line="276" w:lineRule="auto" w:after="120"/>
        <w:ind w:firstLine="425"/>
        <w:jc w:val="both"/>
      </w:pPr>
      <w:r>
        <w:rPr>
          <w:rFonts w:ascii="Times New Roman" w:hAnsi="Times New Roman" w:cs="Times New Roman" w:eastAsia="Times New Roman"/>
          <w:b w:val="0"/>
          <w:sz w:val="24"/>
        </w:rPr>
        <w:t>La presente è appendice ottava alla Fase Settima e opera sulla sesta relazione semestrale della Commissione parlamentare d'inchiesta sul terrorismo e sulle stragi della XIII legislatura, stampata come documento XXIII numero 37 e riferita a un semestre che si chiude nel gennaio duemila. Come le sette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È la quarta unità di produzione della serie e la più tarda. Essa reca acquisizioni che chiudono, restringono o riformulano quattro fra gli Stati Zero dichiarati oggi, e ne apre altri.</w:t>
      </w:r>
    </w:p>
    <w:p>
      <w:pPr>
        <w:spacing w:line="276" w:lineRule="auto" w:after="120" w:before="240"/>
        <w:ind w:firstLine="0"/>
        <w:jc w:val="left"/>
      </w:pPr>
      <w:r>
        <w:rPr>
          <w:rFonts w:ascii="Times New Roman" w:hAnsi="Times New Roman" w:cs="Times New Roman" w:eastAsia="Times New Roman"/>
          <w:b/>
          <w:sz w:val="24"/>
        </w:rPr>
        <w:t>Parte prima — L'audizione della quarta persona, e il rifiuto che la precede</w:t>
      </w:r>
    </w:p>
    <w:p>
      <w:pPr>
        <w:spacing w:line="276" w:lineRule="auto" w:after="120"/>
        <w:ind w:firstLine="425"/>
        <w:jc w:val="both"/>
      </w:pPr>
      <w:r>
        <w:rPr>
          <w:rFonts w:ascii="Times New Roman" w:hAnsi="Times New Roman" w:cs="Times New Roman" w:eastAsia="Times New Roman"/>
          <w:b w:val="0"/>
          <w:sz w:val="24"/>
        </w:rPr>
        <w:t>L'organo dichiara di avere ritenuto di notevole utilità l'audizione di esponenti dell'organizzazione, e di essersi visto a più riprese opporre un rifiuto a comparire; e di avere invece ottenuto l'assenso di una persona allora agli arresti domiciliari, la cui audizione fu svolta il ventuno gennaio duemila previ contatti con la Corte di Assise d'appello competente e con le forze di polizia incaricate della traduzione.</w:t>
      </w:r>
    </w:p>
    <w:p>
      <w:pPr>
        <w:spacing w:line="276" w:lineRule="auto" w:after="120"/>
        <w:ind w:firstLine="425"/>
        <w:jc w:val="both"/>
      </w:pPr>
      <w:r>
        <w:rPr>
          <w:rFonts w:ascii="Times New Roman" w:hAnsi="Times New Roman" w:cs="Times New Roman" w:eastAsia="Times New Roman"/>
          <w:b w:val="0"/>
          <w:sz w:val="24"/>
        </w:rPr>
        <w:t>La persona audita è quella la cui identificazione costituiva, fra gli otto interrogativi dichiarati irrisolti dalla Commissione della X legislatura e richiamati dalla relazione della XI, la voce relativa alla quarta persona presente nella base durante la detenzione. Fra la formulazione di quell'interrogativo e l'audizione corrono circa dieci anni; fra i fatti e l'audizione, ventidue.</w:t>
      </w:r>
    </w:p>
    <w:p>
      <w:pPr>
        <w:spacing w:line="276" w:lineRule="auto" w:after="120"/>
        <w:ind w:firstLine="425"/>
        <w:jc w:val="both"/>
      </w:pPr>
      <w:r>
        <w:rPr>
          <w:rFonts w:ascii="Times New Roman" w:hAnsi="Times New Roman" w:cs="Times New Roman" w:eastAsia="Times New Roman"/>
          <w:b w:val="0"/>
          <w:sz w:val="24"/>
        </w:rPr>
        <w:t>Si registrano due atti e non uno, poiché il rifiuto è un atto quanto l'assenso. Un rifiuto reiterato di comparire dinanzi a un organo d'inchiesta, opposto da persone determinate, è documentato negli atti dell'organo che lo subisce, ed è la constatazione negativa più netta disponibile su una fonte dichiarativa: non è che la fonte non abbia parlato, è che ha rifiutato di parlare a quella sede. La distinzione fra il silenzio e il rifiuto è, in materia di fonti dichiarative, la medesima che corre fra il non reperito e il non accessibile.</w:t>
      </w:r>
    </w:p>
    <w:p>
      <w:pPr>
        <w:spacing w:line="276" w:lineRule="auto" w:after="120"/>
        <w:ind w:firstLine="425"/>
        <w:jc w:val="both"/>
      </w:pPr>
      <w:r>
        <w:rPr>
          <w:rFonts w:ascii="Times New Roman" w:hAnsi="Times New Roman" w:cs="Times New Roman" w:eastAsia="Times New Roman"/>
          <w:b w:val="0"/>
          <w:sz w:val="24"/>
        </w:rPr>
        <w:t>Si dichiara che il presente atto non conosce il contenuto dell'audizione, la quale produsse resoconto e del quale non si dispone.</w:t>
      </w:r>
    </w:p>
    <w:p>
      <w:pPr>
        <w:spacing w:line="276" w:lineRule="auto" w:after="120" w:before="240"/>
        <w:ind w:firstLine="0"/>
        <w:jc w:val="left"/>
      </w:pPr>
      <w:r>
        <w:rPr>
          <w:rFonts w:ascii="Times New Roman" w:hAnsi="Times New Roman" w:cs="Times New Roman" w:eastAsia="Times New Roman"/>
          <w:b/>
          <w:sz w:val="24"/>
        </w:rPr>
        <w:t>Parte seconda — Le audizioni, le acquisizioni ministeriali, e il repertorio ancora cercato</w:t>
      </w:r>
    </w:p>
    <w:p>
      <w:pPr>
        <w:spacing w:line="276" w:lineRule="auto" w:after="120"/>
        <w:ind w:firstLine="425"/>
        <w:jc w:val="both"/>
      </w:pPr>
      <w:r>
        <w:rPr>
          <w:rFonts w:ascii="Times New Roman" w:hAnsi="Times New Roman" w:cs="Times New Roman" w:eastAsia="Times New Roman"/>
          <w:b w:val="0"/>
          <w:sz w:val="24"/>
        </w:rPr>
        <w:t>L'organo riferisce che sul caso si sono svolte le audizioni di un già direttore del servizio informativo militare, del vicepresidente del Consiglio in carica e di due magistrati che furono giudici istruttori all'epoca dei fatti; e che è stato acquisito ulteriore materiale documentale proveniente dalla Procura della Repubblica di Roma in data dieci novembre millenovecentonovantanove e dal Ministero dell'interno in data ventuno dicembre millenovecentonovantanove.</w:t>
      </w:r>
    </w:p>
    <w:p>
      <w:pPr>
        <w:spacing w:line="276" w:lineRule="auto" w:after="120"/>
        <w:ind w:firstLine="425"/>
        <w:jc w:val="both"/>
      </w:pPr>
      <w:r>
        <w:rPr>
          <w:rFonts w:ascii="Times New Roman" w:hAnsi="Times New Roman" w:cs="Times New Roman" w:eastAsia="Times New Roman"/>
          <w:b w:val="0"/>
          <w:sz w:val="24"/>
        </w:rPr>
        <w:t>Riferisce altresì che il Presidente ha redatto e depositato in data ventisette luglio millenovecentonovantanove un documento dedicato allo sviluppo delle indagini e ai nuovi spunti investigativi sul caso.</w:t>
      </w:r>
    </w:p>
    <w:p>
      <w:pPr>
        <w:spacing w:line="276" w:lineRule="auto" w:after="120"/>
        <w:ind w:firstLine="425"/>
        <w:jc w:val="both"/>
      </w:pPr>
      <w:r>
        <w:rPr>
          <w:rFonts w:ascii="Times New Roman" w:hAnsi="Times New Roman" w:cs="Times New Roman" w:eastAsia="Times New Roman"/>
          <w:b w:val="0"/>
          <w:sz w:val="24"/>
        </w:rPr>
        <w:t>La seconda delle due acquisizioni ministeriali va accostata allo Stato Zero sul repertorio generale degli atti del Gabinetto, dichiarato dall'appendice sesta e ristretto dall'appendice settima. Si tratta di materiale documentale proveniente dal medesimo Dicastero presso il quale il repertorio fu redatto, acquisito sul medesimo oggetto, quattro anni dopo la raccomandazione che ne prescriveva l'acquisizione.</w:t>
      </w:r>
    </w:p>
    <w:p>
      <w:pPr>
        <w:spacing w:line="276" w:lineRule="auto" w:after="120"/>
        <w:ind w:firstLine="425"/>
        <w:jc w:val="both"/>
      </w:pPr>
      <w:r>
        <w:rPr>
          <w:rFonts w:ascii="Times New Roman" w:hAnsi="Times New Roman" w:cs="Times New Roman" w:eastAsia="Times New Roman"/>
          <w:b w:val="0"/>
          <w:sz w:val="24"/>
        </w:rPr>
        <w:t>Si dichiara con esattezza ciò che l'accostamento consente e ciò che non consente. Esso non consente di identificare quella acquisizione con il repertorio: la relazione non lo dice, e nulla nella sua descrizione lo suggerisce. Esso consente di restringere ulteriormente la ricerca: se il repertorio fu acquisito dopo la raccomandazione, la data del ventuno dicembre millenovecentonovantanove è la sola occorrenza documentata, nelle fonti possedute, di una trasmissione di atti dal Gabinetto alla Commissione sul caso; ed è dunque il primo punto da verificare.</w:t>
      </w:r>
    </w:p>
    <w:p>
      <w:pPr>
        <w:spacing w:line="276" w:lineRule="auto" w:after="120"/>
        <w:ind w:firstLine="425"/>
        <w:jc w:val="both"/>
      </w:pPr>
      <w:r>
        <w:rPr>
          <w:rFonts w:ascii="Times New Roman" w:hAnsi="Times New Roman" w:cs="Times New Roman" w:eastAsia="Times New Roman"/>
          <w:b w:val="0"/>
          <w:sz w:val="24"/>
        </w:rPr>
        <w:t>Voce trentacinquesima — Gli atti della XIII legislatura sul caso. Oggetto: i resoconti delle quattro audizioni sul caso e di quella del ventuno gennaio duemila; il documento redatto e depositato dal Presidente il ventisette luglio millenovecentonovantanove; l'elenco analitico del materiale acquisito dalla Procura della Repubblica di Roma il dieci novembre e dal Ministero dell'interno il ventuno dicembre millenovecentonovantanove. Sede: atti della Commissione della XIII legislatura. Chiusura: reperimento dei resoconti, del documento e dei due elenchi. Smentita: non ricorre. Si segnala che il secondo elenco è il punto nel quale verificare l'eventuale acquisizione del repertorio generale del Gabinetto.</w:t>
      </w:r>
    </w:p>
    <w:p>
      <w:pPr>
        <w:spacing w:line="276" w:lineRule="auto" w:after="120" w:before="240"/>
        <w:ind w:firstLine="0"/>
        <w:jc w:val="left"/>
      </w:pPr>
      <w:r>
        <w:rPr>
          <w:rFonts w:ascii="Times New Roman" w:hAnsi="Times New Roman" w:cs="Times New Roman" w:eastAsia="Times New Roman"/>
          <w:b/>
          <w:sz w:val="24"/>
        </w:rPr>
        <w:t>Parte terza — Il canale orientale, e la sua catena di custodia</w:t>
      </w:r>
    </w:p>
    <w:p>
      <w:pPr>
        <w:spacing w:line="276" w:lineRule="auto" w:after="120"/>
        <w:ind w:firstLine="425"/>
        <w:jc w:val="both"/>
      </w:pPr>
      <w:r>
        <w:rPr>
          <w:rFonts w:ascii="Times New Roman" w:hAnsi="Times New Roman" w:cs="Times New Roman" w:eastAsia="Times New Roman"/>
          <w:b w:val="0"/>
          <w:sz w:val="24"/>
        </w:rPr>
        <w:t>L'organo espone per intero, e questa è l'acquisizione più consistente dell'unità, la vicenda di un carteggio relativo a contatti e scambi di informazioni intervenuti nell'estate e nell'autunno del millenovecentonovanta fra gli organi ufficiali della nuova amministrazione di uno Stato dell'Europa centrale e i servizi informativi italiani, carteggio che avrebbe riguardato fra l'altro l'attività dell'organizzazione e il caso.</w:t>
      </w:r>
    </w:p>
    <w:p>
      <w:pPr>
        <w:spacing w:line="276" w:lineRule="auto" w:after="120"/>
        <w:ind w:firstLine="425"/>
        <w:jc w:val="both"/>
      </w:pPr>
      <w:r>
        <w:rPr>
          <w:rFonts w:ascii="Times New Roman" w:hAnsi="Times New Roman" w:cs="Times New Roman" w:eastAsia="Times New Roman"/>
          <w:b w:val="0"/>
          <w:sz w:val="24"/>
        </w:rPr>
        <w:t>La catena di custodia dichiarata è la seguente. Il carteggio fu trasmesso dal servizio informativo civile alla Procura della Repubblica di Roma nell'agosto millenovecentonovantotto; da questa fu inviato alla Commissione nell'aprile millenovecentonovantanove; l'Ufficio di Presidenza, previ contatti con la Procura e con il servizio, deliberò a maggioranza il venticinque ottobre millenovecentonovantanove di renderlo accessibile agli organi di informazione.</w:t>
      </w:r>
    </w:p>
    <w:p>
      <w:pPr>
        <w:spacing w:line="276" w:lineRule="auto" w:after="120"/>
        <w:ind w:firstLine="425"/>
        <w:jc w:val="both"/>
      </w:pPr>
      <w:r>
        <w:rPr>
          <w:rFonts w:ascii="Times New Roman" w:hAnsi="Times New Roman" w:cs="Times New Roman" w:eastAsia="Times New Roman"/>
          <w:b w:val="0"/>
          <w:sz w:val="24"/>
        </w:rPr>
        <w:t>L'organo precisa inoltre che dalla documentazione trasmessa nel millenovecentonovantotto dal servizio alla Procura erano rimaste escluse alcune parti, menzionate sommariamente in un elenco ma non afferenti al caso, e che la Procura non ne aveva pertanto fatto richiesta; e che la Commissione giudicò opportuno acquisire anche quelle parti, ottenendole dal servizio in data ventinove ottobre millenovecentonovantanove. Riferisce infine che il vicepresidente del Consiglio, al termine della propria audizione del ventisette ottobre, depositò altri atti citati ma non inclusi nel fascicolo inviato alla Procura.</w:t>
      </w:r>
    </w:p>
    <w:p>
      <w:pPr>
        <w:spacing w:line="276" w:lineRule="auto" w:after="120"/>
        <w:ind w:firstLine="425"/>
        <w:jc w:val="both"/>
      </w:pPr>
      <w:r>
        <w:rPr>
          <w:rFonts w:ascii="Times New Roman" w:hAnsi="Times New Roman" w:cs="Times New Roman" w:eastAsia="Times New Roman"/>
          <w:b w:val="0"/>
          <w:sz w:val="24"/>
        </w:rPr>
        <w:t>Questa esposizione contiene il caso più istruttivo dell'intera serie quanto alla formazione delle lacune, e va letto lentamente. Un servizio trasmette a una Procura ciò che è pertinente al procedimento di quella Procura, e menziona in elenco ciò che non lo è. La Procura, correttamente, chiede il pertinente. Il non pertinente resta dove si trova. Nessuno ha occultato nulla, nessuno ha violato alcuna regola, e ciascun passaggio è ineccepibile: eppure, al termine della catena, esiste un insieme di documenti che è stato menzionato, non richiesto e non trasmesso, e la cui esistenza è nota soltanto a chi legga l'elenco sommario.</w:t>
      </w:r>
    </w:p>
    <w:p>
      <w:pPr>
        <w:spacing w:line="276" w:lineRule="auto" w:after="120"/>
        <w:ind w:firstLine="425"/>
        <w:jc w:val="both"/>
      </w:pPr>
      <w:r>
        <w:rPr>
          <w:rFonts w:ascii="Times New Roman" w:hAnsi="Times New Roman" w:cs="Times New Roman" w:eastAsia="Times New Roman"/>
          <w:b w:val="0"/>
          <w:sz w:val="24"/>
        </w:rPr>
        <w:t>Se ne trae che una parte delle lacune in questa materia non è prodotta da alcuna volontà. Essa è prodotta dal fatto che ogni ufficio domanda secondo il proprio oggetto, e che ciò che cade fuori dall'oggetto di tutti gli uffici che hanno domandato non è mai domandato da nessuno. È la figura che il corpus maggiore designa come effetto del lampione, qui documentata nella sua forma pura: non un archivio che si chiude, ma un fascio di luce che non arriva.</w:t>
      </w:r>
    </w:p>
    <w:p>
      <w:pPr>
        <w:spacing w:line="276" w:lineRule="auto" w:after="120"/>
        <w:ind w:firstLine="425"/>
        <w:jc w:val="both"/>
      </w:pPr>
      <w:r>
        <w:rPr>
          <w:rFonts w:ascii="Times New Roman" w:hAnsi="Times New Roman" w:cs="Times New Roman" w:eastAsia="Times New Roman"/>
          <w:b w:val="0"/>
          <w:sz w:val="24"/>
        </w:rPr>
        <w:t>Si registri altresì la circostanza che segue, perché è quella che ha rotto la sequenza: la Commissione ottenne le parti escluse perché ne lesse l'elenco e le chiese. L'elenco sommario di ciò che non viene trasmesso è, in un sistema di trasmissioni parziali, il solo strumento che renda la lacuna visibile. Ne discende una prescrizione per chi conduca ricerche archivistiche: si chieda sempre, oltre al fascicolo, l'elenco di ciò che dal fascicolo è stato escluso, e la ragione dell'esclusione.</w:t>
      </w:r>
    </w:p>
    <w:p>
      <w:pPr>
        <w:spacing w:line="276" w:lineRule="auto" w:after="120"/>
        <w:ind w:firstLine="425"/>
        <w:jc w:val="both"/>
      </w:pPr>
      <w:r>
        <w:rPr>
          <w:rFonts w:ascii="Times New Roman" w:hAnsi="Times New Roman" w:cs="Times New Roman" w:eastAsia="Times New Roman"/>
          <w:b w:val="0"/>
          <w:sz w:val="24"/>
        </w:rPr>
        <w:t>L'organo conclude affermando che, a seguito del complesso delle acquisizioni, la Commissione dispone ora di tutto il materiale raccolto dai servizi italiani nel millenovecentonovanta in virtù di quel rapporto di collaborazione.</w:t>
      </w:r>
    </w:p>
    <w:p>
      <w:pPr>
        <w:spacing w:line="276" w:lineRule="auto" w:after="120"/>
        <w:ind w:firstLine="425"/>
        <w:jc w:val="both"/>
      </w:pPr>
      <w:r>
        <w:rPr>
          <w:rFonts w:ascii="Times New Roman" w:hAnsi="Times New Roman" w:cs="Times New Roman" w:eastAsia="Times New Roman"/>
          <w:b w:val="0"/>
          <w:sz w:val="24"/>
        </w:rPr>
        <w:t>Si enuncia la regola che l'affermazione impone, ed è la dodicesima della serie. Un'affermazione di completezza formulata dall'acquirente è una valutazione dell'acquirente e non un accertamento sulla completezza. Essa attesta che chi ha acquisito ritiene di avere esaurito, il che dipende dalla conoscenza che egli ha di ciò che esiste; e in un sistema nel quale l'esistenza è nota per elenchi sommari redatti da altri, quella conoscenza è essa stessa derivata. Si registri l'affermazione al grado che le compete, che è quello della valutazione, e non la si impieghi per chiudere una ricerca.</w:t>
      </w:r>
    </w:p>
    <w:p>
      <w:pPr>
        <w:spacing w:line="276" w:lineRule="auto" w:after="120"/>
        <w:ind w:firstLine="425"/>
        <w:jc w:val="both"/>
      </w:pPr>
      <w:r>
        <w:rPr>
          <w:rFonts w:ascii="Times New Roman" w:hAnsi="Times New Roman" w:cs="Times New Roman" w:eastAsia="Times New Roman"/>
          <w:b w:val="0"/>
          <w:sz w:val="24"/>
        </w:rPr>
        <w:t>Voce trentaseiesima — Il carteggio del 1990 e le parti escluse dal fascicolo processuale. Oggetto: il carteggio nel suo complesso; l'elenco sommario delle parti escluse dalla trasmissione del millenovecentonovantotto e la ragione della loro esclusione; le parti acquisite dal servizio il ventinove ottobre millenovecentonovantanove; gli atti depositati al termine dell'audizione del ventisette ottobre. Sede: atti della Commissione della XIII legislatura; Procura della Repubblica di Roma; archivi del servizio informativo civile. Chiusura: reperimento del carteggio e dell'elenco delle esclusioni. Smentita: la constatazione che l'elenco sommario non esista o non sia conservato, nel qual caso l'estensione di ciò che non fu trasmesso non sarebbe determinabile e la voce si chiuderebbe con Stato Zero anziché con reperimento.</w:t>
      </w:r>
    </w:p>
    <w:p>
      <w:pPr>
        <w:spacing w:line="276" w:lineRule="auto" w:after="120" w:before="240"/>
        <w:ind w:firstLine="0"/>
        <w:jc w:val="left"/>
      </w:pPr>
      <w:r>
        <w:rPr>
          <w:rFonts w:ascii="Times New Roman" w:hAnsi="Times New Roman" w:cs="Times New Roman" w:eastAsia="Times New Roman"/>
          <w:b/>
          <w:sz w:val="24"/>
        </w:rPr>
        <w:t>Parte quarta — Uno Stato Zero formalizzato da quattro apparati</w:t>
      </w:r>
    </w:p>
    <w:p>
      <w:pPr>
        <w:spacing w:line="276" w:lineRule="auto" w:after="120"/>
        <w:ind w:firstLine="425"/>
        <w:jc w:val="both"/>
      </w:pPr>
      <w:r>
        <w:rPr>
          <w:rFonts w:ascii="Times New Roman" w:hAnsi="Times New Roman" w:cs="Times New Roman" w:eastAsia="Times New Roman"/>
          <w:b w:val="0"/>
          <w:sz w:val="24"/>
        </w:rPr>
        <w:t>L'organo riferisce di avere voluto attingere ogni possibile notizia circa l'eventuale esistenza di un documento che sarebbe stato consegnato personalmente da un capo di Stato straniero a funzionari italiani nel corso di una visita del settembre millenovecentonovanta; di avere inviato a tal fine precise richieste a quattro sedi — l'organismo di coordinamento dei servizi, i due servizi informativi e la Presidenza del Consiglio; e che dalle risposte ottenute può desumersi con sufficiente sicurezza che, allo stato, non risulta l'esistenza del documento ipotizzato, e che non vi è altra documentazione oltre quella già segnalata.</w:t>
      </w:r>
    </w:p>
    <w:p>
      <w:pPr>
        <w:spacing w:line="276" w:lineRule="auto" w:after="120"/>
        <w:ind w:firstLine="425"/>
        <w:jc w:val="both"/>
      </w:pPr>
      <w:r>
        <w:rPr>
          <w:rFonts w:ascii="Times New Roman" w:hAnsi="Times New Roman" w:cs="Times New Roman" w:eastAsia="Times New Roman"/>
          <w:b w:val="0"/>
          <w:sz w:val="24"/>
        </w:rPr>
        <w:t>Questa è la constatazione negativa meglio costruita che le fonti di questa materia offrano, e va qualificata con precisione perché il suo pregio sta nella forma e non nell'esito.</w:t>
      </w:r>
    </w:p>
    <w:p>
      <w:pPr>
        <w:spacing w:line="276" w:lineRule="auto" w:after="120"/>
        <w:ind w:firstLine="425"/>
        <w:jc w:val="both"/>
      </w:pPr>
      <w:r>
        <w:rPr>
          <w:rFonts w:ascii="Times New Roman" w:hAnsi="Times New Roman" w:cs="Times New Roman" w:eastAsia="Times New Roman"/>
          <w:b w:val="0"/>
          <w:sz w:val="24"/>
        </w:rPr>
        <w:t>Essa non è prodotta dal ricercatore, il quale può soltanto dichiarare di non avere trovato. È prodotta da quattro amministrazioni distinte, ciascuna interrogata su un oggetto determinato, ciascuna rispondente sui propri atti. Un esito negativo di questa specie non misura l'intensità di una ricerca privata: misura il contenuto dichiarato di quattro archivi.</w:t>
      </w:r>
    </w:p>
    <w:p>
      <w:pPr>
        <w:spacing w:line="276" w:lineRule="auto" w:after="120"/>
        <w:ind w:firstLine="425"/>
        <w:jc w:val="both"/>
      </w:pPr>
      <w:r>
        <w:rPr>
          <w:rFonts w:ascii="Times New Roman" w:hAnsi="Times New Roman" w:cs="Times New Roman" w:eastAsia="Times New Roman"/>
          <w:b w:val="0"/>
          <w:sz w:val="24"/>
        </w:rPr>
        <w:t>Si dichiari però con la medesima esattezza ciò che essa stabilisce. Stabilisce che il documento non risulta dagli atti delle quattro sedi interrogate, alla data delle risposte. Non stabilisce che il documento non sia esistito, né che non esista altrove, né che non sia stato distrutto, né che non sia conservato presso una sede quinta non interrogata. L'organo medesimo usa la formula allo stato e l'avverbio con sufficiente sicurezza, e sono le due cautele giuste: la prima temporale, la seconda di grado.</w:t>
      </w:r>
    </w:p>
    <w:p>
      <w:pPr>
        <w:spacing w:line="276" w:lineRule="auto" w:after="120"/>
        <w:ind w:firstLine="425"/>
        <w:jc w:val="both"/>
      </w:pPr>
      <w:r>
        <w:rPr>
          <w:rFonts w:ascii="Times New Roman" w:hAnsi="Times New Roman" w:cs="Times New Roman" w:eastAsia="Times New Roman"/>
          <w:b w:val="0"/>
          <w:sz w:val="24"/>
        </w:rPr>
        <w:t>Si registra questa voce nella classe delle constatazioni negative alla quale la Voce ventunesima è dedicata, e la si segnala come modello di quella classe. Una constatazione negativa vale quanto l'intensità della ricerca che l'ha prodotta; qui l'intensità è documentata in quattro richieste a quattro sedi competenti, ed è pertanto misurabile.</w:t>
      </w:r>
    </w:p>
    <w:p>
      <w:pPr>
        <w:spacing w:line="276" w:lineRule="auto" w:after="120" w:before="240"/>
        <w:ind w:firstLine="0"/>
        <w:jc w:val="left"/>
      </w:pPr>
      <w:r>
        <w:rPr>
          <w:rFonts w:ascii="Times New Roman" w:hAnsi="Times New Roman" w:cs="Times New Roman" w:eastAsia="Times New Roman"/>
          <w:b/>
          <w:sz w:val="24"/>
        </w:rPr>
        <w:t>Parte quinta — Un fascicolo nuovo</w:t>
      </w:r>
    </w:p>
    <w:p>
      <w:pPr>
        <w:spacing w:line="276" w:lineRule="auto" w:after="120"/>
        <w:ind w:firstLine="425"/>
        <w:jc w:val="both"/>
      </w:pPr>
      <w:r>
        <w:rPr>
          <w:rFonts w:ascii="Times New Roman" w:hAnsi="Times New Roman" w:cs="Times New Roman" w:eastAsia="Times New Roman"/>
          <w:b w:val="0"/>
          <w:sz w:val="24"/>
        </w:rPr>
        <w:t>L'organo riferisce che, quanto a una figura sulla quale la relazione semestrale anteriore aveva già segnalato motivi di interesse — un musicista deceduto nel millenovecentottantatré — si è avuta conferma dell'esistenza di un apposito fascicolo processuale aperto presso la Procura di Brescia e poi trasmesso per competenza a quella di Roma; che tale fascicolo è stato acquisito con la copiosa documentazione allegata; e che la Commissione ha avanzato per proprio conto richieste di elementi informativi a organi investigativi, a enti diversi e a istituti culturali.</w:t>
      </w:r>
    </w:p>
    <w:p>
      <w:pPr>
        <w:spacing w:line="276" w:lineRule="auto" w:after="120"/>
        <w:ind w:firstLine="425"/>
        <w:jc w:val="both"/>
      </w:pPr>
      <w:r>
        <w:rPr>
          <w:rFonts w:ascii="Times New Roman" w:hAnsi="Times New Roman" w:cs="Times New Roman" w:eastAsia="Times New Roman"/>
          <w:b w:val="0"/>
          <w:sz w:val="24"/>
        </w:rPr>
        <w:t>Si registra il solo dato documentale, che è l'esistenza e la traslazione per competenza di un fascicolo, con le due sedi e la copiosità dell'allegato. Il presente atto non riferisce alcuna ipotesi sulla materia e non ne conosce il contenuto. Si segnala che una trasmissione per competenza fra due Procure lascia traccia in entrambe, e che il fascicolo è pertanto reperibile per due vie.</w:t>
      </w:r>
    </w:p>
    <w:p>
      <w:pPr>
        <w:spacing w:line="276" w:lineRule="auto" w:after="120"/>
        <w:ind w:firstLine="425"/>
        <w:jc w:val="both"/>
      </w:pPr>
      <w:r>
        <w:rPr>
          <w:rFonts w:ascii="Times New Roman" w:hAnsi="Times New Roman" w:cs="Times New Roman" w:eastAsia="Times New Roman"/>
          <w:b w:val="0"/>
          <w:sz w:val="24"/>
        </w:rPr>
        <w:t>Voce trentasettesima — Il fascicolo trasmesso per competenza da Brescia a Roma. Oggetto: il fascicolo processuale e la documentazione allegata; l'atto di trasmissione per competenza; le richieste di elementi informativi avanzate dalla Commissione e le risposte pervenute. Sede: Procura della Repubblica di Brescia e Procura della Repubblica di Roma; atti della Commissione della XIII legislatura. Chiusura: reperimento del fascicolo e dell'atto di trasmissione. Smentita: non ricorre.</w:t>
      </w:r>
    </w:p>
    <w:p>
      <w:pPr>
        <w:spacing w:line="276" w:lineRule="auto" w:after="120" w:before="240"/>
        <w:ind w:firstLine="0"/>
        <w:jc w:val="left"/>
      </w:pPr>
      <w:r>
        <w:rPr>
          <w:rFonts w:ascii="Times New Roman" w:hAnsi="Times New Roman" w:cs="Times New Roman" w:eastAsia="Times New Roman"/>
          <w:b/>
          <w:sz w:val="24"/>
        </w:rPr>
        <w:t>Parte sesta — Duecentosessantuno schede, e una catena sola</w:t>
      </w:r>
    </w:p>
    <w:p>
      <w:pPr>
        <w:spacing w:line="276" w:lineRule="auto" w:after="120"/>
        <w:ind w:firstLine="425"/>
        <w:jc w:val="both"/>
      </w:pPr>
      <w:r>
        <w:rPr>
          <w:rFonts w:ascii="Times New Roman" w:hAnsi="Times New Roman" w:cs="Times New Roman" w:eastAsia="Times New Roman"/>
          <w:b w:val="0"/>
          <w:sz w:val="24"/>
        </w:rPr>
        <w:t>L'organo espone l'acquisizione di un dossier proveniente da un archivio straniero, e l'esposizione è, ai fini della verifica genealogica, la più istruttiva dell'intera giornata.</w:t>
      </w:r>
    </w:p>
    <w:p>
      <w:pPr>
        <w:spacing w:line="276" w:lineRule="auto" w:after="120"/>
        <w:ind w:firstLine="425"/>
        <w:jc w:val="both"/>
      </w:pPr>
      <w:r>
        <w:rPr>
          <w:rFonts w:ascii="Times New Roman" w:hAnsi="Times New Roman" w:cs="Times New Roman" w:eastAsia="Times New Roman"/>
          <w:b w:val="0"/>
          <w:sz w:val="24"/>
        </w:rPr>
        <w:t>La sequenza dichiarata è la seguente. Un funzionario dell'archivio centrale di un servizio segreto estero porta con sé, fuggendo nel millenovecentonovantadue, annotazioni e appunti tratti da quell'archivio, e li consegna a un servizio occidentale. Fra il millenovecentonovantasei e il millenovecentonovantanove uno storico incaricato ufficialmente da quel governo ne conduce la lettura critica, dalla quale nasce un volume. Le schede riguardanti l'Italia, in numero di duecentosessantuno, sono trasmesse dai servizi britannici a quelli italiani nel corso degli anni a partire dal millenovecentonovantacinque. Il Governo italiano le invia alla Procura della Repubblica di Roma. La Commissione ne chiede l'integralità e le ottiene l'undici ottobre millenovecentonovantanove in due esemplari identici, l'uno dalla magistratura e l'altro dalla Presidenza del Consiglio, entrambi recanti sia la versione originale sia la traduzione effettuata dal servizio informativo militare. Nel pomeriggio del medesimo giorno l'Ufficio di Presidenza delibera di rendere la documentazione immediatamente consultabile e accessibile agli organi di informazione, e affida a un consulente il compito di relazionarne.</w:t>
      </w:r>
    </w:p>
    <w:p>
      <w:pPr>
        <w:spacing w:line="276" w:lineRule="auto" w:after="120"/>
        <w:ind w:firstLine="425"/>
        <w:jc w:val="both"/>
      </w:pPr>
      <w:r>
        <w:rPr>
          <w:rFonts w:ascii="Times New Roman" w:hAnsi="Times New Roman" w:cs="Times New Roman" w:eastAsia="Times New Roman"/>
          <w:b w:val="0"/>
          <w:sz w:val="24"/>
        </w:rPr>
        <w:t>Si contino le catene. Il volume a stampa, i due esemplari del dossier, la traduzione del servizio, la relazione del consulente e la copertura giornalistica che ne seguì sono sei oggetti distinti, di cinque nature diverse, provenienti da cinque sedi diverse. Sono una catena sola. L'evento originario è uno: le annotazioni tratte da quell'archivio da quel funzionario. Tutto il resto è trasmissione, traduzione, lettura critica ed esposizione, e nessuna di queste operazioni genera catena.</w:t>
      </w:r>
    </w:p>
    <w:p>
      <w:pPr>
        <w:spacing w:line="276" w:lineRule="auto" w:after="120"/>
        <w:ind w:firstLine="425"/>
        <w:jc w:val="both"/>
      </w:pPr>
      <w:r>
        <w:rPr>
          <w:rFonts w:ascii="Times New Roman" w:hAnsi="Times New Roman" w:cs="Times New Roman" w:eastAsia="Times New Roman"/>
          <w:b w:val="0"/>
          <w:sz w:val="24"/>
        </w:rPr>
        <w:t>Ne segue, per la settima regola e per la nona, che nessuna convergenza è computabile fra questi sei oggetti, e che una proposizione sorretta dal volume e dal dossier è sorretta da una fonte e non da due.</w:t>
      </w:r>
    </w:p>
    <w:p>
      <w:pPr>
        <w:spacing w:line="276" w:lineRule="auto" w:after="120"/>
        <w:ind w:firstLine="425"/>
        <w:jc w:val="both"/>
      </w:pPr>
      <w:r>
        <w:rPr>
          <w:rFonts w:ascii="Times New Roman" w:hAnsi="Times New Roman" w:cs="Times New Roman" w:eastAsia="Times New Roman"/>
          <w:b w:val="0"/>
          <w:sz w:val="24"/>
        </w:rPr>
        <w:t>Ne segue altresì, per il repertorio critico dell'opera, la collocazione della classe. Le schede non sono l'archivio: sono annotazioni tratte da un archivio, e l'archivio non è stato veduto da chi legge le annotazioni. La classe che il repertorio designa come archivi dei regimi caduti, alla quale conferisce il grado massimo, non le comprende. Esse appartengono alla classe delle stime e delle schedature di apparato, alla quale il repertorio conferisce il grado massimo quanto a ciò che un apparato riteneva in una data determinata, e il grado minimo quanto ai fatti del mondo che asseriscono, salvo riscontro autonomo. Il repertorio dichiara che la violazione di questa distinzione è l'errore più frequente nell'uso di questa classe di materiali; il presente atto la ribadisce e la applica.</w:t>
      </w:r>
    </w:p>
    <w:p>
      <w:pPr>
        <w:spacing w:line="276" w:lineRule="auto" w:after="120"/>
        <w:ind w:firstLine="425"/>
        <w:jc w:val="both"/>
      </w:pPr>
      <w:r>
        <w:rPr>
          <w:rFonts w:ascii="Times New Roman" w:hAnsi="Times New Roman" w:cs="Times New Roman" w:eastAsia="Times New Roman"/>
          <w:b w:val="0"/>
          <w:sz w:val="24"/>
        </w:rPr>
        <w:t>Si registra infine, come dato sulla materia e non sul merito, che l'organo stesso dichiarò di volersi occupare del dossier utilizzandone gli spunti informativi ai fini delle inchieste di propria competenza, fra le quali nomina il caso; e che fu presentato un disegno di legge per istituire una Commissione d'inchiesta ad hoc sulla materia, approvato da un ramo del Parlamento e in attesa presso l'altro alla data della relazione.</w:t>
      </w:r>
    </w:p>
    <w:p>
      <w:pPr>
        <w:spacing w:line="276" w:lineRule="auto" w:after="120"/>
        <w:ind w:firstLine="425"/>
        <w:jc w:val="both"/>
      </w:pPr>
      <w:r>
        <w:rPr>
          <w:rFonts w:ascii="Times New Roman" w:hAnsi="Times New Roman" w:cs="Times New Roman" w:eastAsia="Times New Roman"/>
          <w:b w:val="0"/>
          <w:sz w:val="24"/>
        </w:rPr>
        <w:t>Voce trentottesima — Le duecentosessantuno schede e la loro genealogia. Oggetto: il dossier nella versione integrale acquisita l'undici ottobre millenovecentonovantanove, con la traduzione allegata; la relazione redatta dal consulente incaricato; e la verifica di quali proposizioni della letteratura sul caso riposino su questa catena, computata una volta sola. Sede: atti della Commissione della XIII legislatura; Procura della Repubblica di Roma; Presidenza del Consiglio. Chiusura: reperimento del dossier e della relazione, e compilazione dell'elenco delle proposizioni che vi riposano. Smentita: non ricorre quanto al reperimento; quanto alla verifica genealogica, essa si chiude anche con esito nullo, ove risulti che nessuna proposizione dell'opera vi riposi.</w:t>
      </w:r>
    </w:p>
    <w:p>
      <w:pPr>
        <w:spacing w:line="276" w:lineRule="auto" w:after="120" w:before="240"/>
        <w:ind w:firstLine="0"/>
        <w:jc w:val="left"/>
      </w:pPr>
      <w:r>
        <w:rPr>
          <w:rFonts w:ascii="Times New Roman" w:hAnsi="Times New Roman" w:cs="Times New Roman" w:eastAsia="Times New Roman"/>
          <w:b/>
          <w:sz w:val="24"/>
        </w:rPr>
        <w:t>Parte settima — Gli esiti giudiziari registrati</w:t>
      </w:r>
    </w:p>
    <w:p>
      <w:pPr>
        <w:spacing w:line="276" w:lineRule="auto" w:after="120"/>
        <w:ind w:firstLine="425"/>
        <w:jc w:val="both"/>
      </w:pPr>
      <w:r>
        <w:rPr>
          <w:rFonts w:ascii="Times New Roman" w:hAnsi="Times New Roman" w:cs="Times New Roman" w:eastAsia="Times New Roman"/>
          <w:b w:val="0"/>
          <w:sz w:val="24"/>
        </w:rPr>
        <w:t>La relazione registra quattro esiti giudiziari del semestre, e due appartengono alla materia dell'opera.</w:t>
      </w:r>
    </w:p>
    <w:p>
      <w:pPr>
        <w:spacing w:line="276" w:lineRule="auto" w:after="120"/>
        <w:ind w:firstLine="425"/>
        <w:jc w:val="both"/>
      </w:pPr>
      <w:r>
        <w:rPr>
          <w:rFonts w:ascii="Times New Roman" w:hAnsi="Times New Roman" w:cs="Times New Roman" w:eastAsia="Times New Roman"/>
          <w:b w:val="0"/>
          <w:sz w:val="24"/>
        </w:rPr>
        <w:t>Il primo. Il dibattimento sull'omicidio del giornalista, celebrato presso la sede competente, si è concluso in data ventiquattro settembre con sentenza di primo grado che ha escluso ogni responsabilità penale degli imputati.</w:t>
      </w:r>
    </w:p>
    <w:p>
      <w:pPr>
        <w:spacing w:line="276" w:lineRule="auto" w:after="120"/>
        <w:ind w:firstLine="425"/>
        <w:jc w:val="both"/>
      </w:pPr>
      <w:r>
        <w:rPr>
          <w:rFonts w:ascii="Times New Roman" w:hAnsi="Times New Roman" w:cs="Times New Roman" w:eastAsia="Times New Roman"/>
          <w:b w:val="0"/>
          <w:sz w:val="24"/>
        </w:rPr>
        <w:t>Si registra l'esito e lo si accosta alle designazioni delle appendici anteriori. L'appendice quarta ha individuato per estremi gli atti di quel procedimento fra le acquisizioni della Commissione della X legislatura; l'appendice settima ha individuato l'audizione del magistrato titolare delle indagini. Nessuna delle due ha affermato alcunché sul merito, e il presente esito mostra perché quella astensione era dovuta: la designazione per estremi di un atto processuale non anticipa il suo esito, e chi avesse tratto dalla sola esistenza di un procedimento una qualunque inferenza sul merito avrebbe inferito contro ciò che il procedimento ha poi stabilito.</w:t>
      </w:r>
    </w:p>
    <w:p>
      <w:pPr>
        <w:spacing w:line="276" w:lineRule="auto" w:after="120"/>
        <w:ind w:firstLine="425"/>
        <w:jc w:val="both"/>
      </w:pPr>
      <w:r>
        <w:rPr>
          <w:rFonts w:ascii="Times New Roman" w:hAnsi="Times New Roman" w:cs="Times New Roman" w:eastAsia="Times New Roman"/>
          <w:b w:val="0"/>
          <w:sz w:val="24"/>
        </w:rPr>
        <w:t>Si dispone che, nelle redazioni successive, ogni designazione di un procedimento rechi, ove noto, il suo esito; e che ove l'esito non sia noto ciò sia dichiarato, poiché un procedimento designato senza esito è, per il lettore distratto, un procedimento la cui accusa resta implicitamente in piedi.</w:t>
      </w:r>
    </w:p>
    <w:p>
      <w:pPr>
        <w:spacing w:line="276" w:lineRule="auto" w:after="120"/>
        <w:ind w:firstLine="425"/>
        <w:jc w:val="both"/>
      </w:pPr>
      <w:r>
        <w:rPr>
          <w:rFonts w:ascii="Times New Roman" w:hAnsi="Times New Roman" w:cs="Times New Roman" w:eastAsia="Times New Roman"/>
          <w:b w:val="0"/>
          <w:sz w:val="24"/>
        </w:rPr>
        <w:t>Il secondo. La prima fase del procedimento sul disastro aereo si è conclusa con il deposito, il trentuno agosto, di una sentenza-ordinanza che, fra l'altro, elenca in dettaglio le possibili ricostruzioni dei fatti quali risultano dalle perizie acquisite. Si registra il dato per la sola circostanza che rileva ai fini del metodo: un atto giudiziario che elenchi le ricostruzioni possibili anziché sceglierne una è, nel genere, prossimo a ciò che l'opera pratica, ed è raro.</w:t>
      </w:r>
    </w:p>
    <w:p>
      <w:pPr>
        <w:spacing w:line="276" w:lineRule="auto" w:after="120" w:before="240"/>
        <w:ind w:firstLine="0"/>
        <w:jc w:val="left"/>
      </w:pPr>
      <w:r>
        <w:rPr>
          <w:rFonts w:ascii="Times New Roman" w:hAnsi="Times New Roman" w:cs="Times New Roman" w:eastAsia="Times New Roman"/>
          <w:b/>
          <w:sz w:val="24"/>
        </w:rPr>
        <w:t>Parte ottava — Mutazioni di stato e Stati Zero</w:t>
      </w:r>
    </w:p>
    <w:p>
      <w:pPr>
        <w:spacing w:line="276" w:lineRule="auto" w:after="120"/>
        <w:ind w:firstLine="425"/>
        <w:jc w:val="both"/>
      </w:pPr>
      <w:r>
        <w:rPr>
          <w:rFonts w:ascii="Times New Roman" w:hAnsi="Times New Roman" w:cs="Times New Roman" w:eastAsia="Times New Roman"/>
          <w:b w:val="0"/>
          <w:sz w:val="24"/>
        </w:rPr>
        <w:t>Si iscrivono le Voci trentacinquesima, trentaseiesima, trentasettesima e trentottesima. Si enuncia la dodicesima regola della risalita. Si dispone che ogni designazione di procedimento rechi l'esito o ne dichiari l'ignoranza. Nessun grado di alcuna proposizione dell'opera muta.</w:t>
      </w:r>
    </w:p>
    <w:p>
      <w:pPr>
        <w:spacing w:line="276" w:lineRule="auto" w:after="120"/>
        <w:ind w:firstLine="425"/>
        <w:jc w:val="both"/>
      </w:pPr>
      <w:r>
        <w:rPr>
          <w:rFonts w:ascii="Times New Roman" w:hAnsi="Times New Roman" w:cs="Times New Roman" w:eastAsia="Times New Roman"/>
          <w:b w:val="0"/>
          <w:sz w:val="24"/>
        </w:rPr>
        <w:t>Lo Stato Zero sul repertorio generale del Gabinetto si restringe per la seconda volta e non si chiude: la verifica si concentra sull'elenco analitico del materiale acquisito dal Ministero dell'interno il ventuno dicembre millenovecentonovantanove.</w:t>
      </w:r>
    </w:p>
    <w:p>
      <w:pPr>
        <w:spacing w:line="276" w:lineRule="auto" w:after="120"/>
        <w:ind w:firstLine="425"/>
        <w:jc w:val="both"/>
      </w:pPr>
      <w:r>
        <w:rPr>
          <w:rFonts w:ascii="Times New Roman" w:hAnsi="Times New Roman" w:cs="Times New Roman" w:eastAsia="Times New Roman"/>
          <w:b w:val="0"/>
          <w:sz w:val="24"/>
        </w:rPr>
        <w:t>Si dichiarano gli Stati Zero nuovi. Primo: il contenuto dell'audizione del ventuno gennaio duemila non è noto e il resoconto non è posseduto. Secondo: l'elenco sommario delle parti escluse dalla trasmissione del millenovecentonovantotto non è posseduto, ed è l'atto che misura l'estensione di ciò che non fu trasmesso. Terzo: le risposte delle quattro sedi interrogate sull'esistenza del documento ipotizzato non sono possedute nel loro testo, ma soltanto nella sintesi che ne dà l'organo. Quarto: la relazione del consulente sul dossier non è posseduta.</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sesta del giorno sul medesimo cantiere. Cantiere: designazione per atto delle fonti. Materia: la sesta relazione semestrale della XIII legislatura.</w:t>
      </w:r>
    </w:p>
    <w:p>
      <w:pPr>
        <w:spacing w:line="276" w:lineRule="auto" w:after="120"/>
        <w:ind w:firstLine="425"/>
        <w:jc w:val="both"/>
      </w:pPr>
      <w:r>
        <w:rPr>
          <w:rFonts w:ascii="Times New Roman" w:hAnsi="Times New Roman" w:cs="Times New Roman" w:eastAsia="Times New Roman"/>
          <w:b w:val="0"/>
          <w:sz w:val="24"/>
        </w:rPr>
        <w:t>Esito positivo: individuazione dell'audizione del ventuno gennaio duemila della persona la cui identificazione figurava fra gli otto interrogativi irrisolti, e del rifiuto reiterato che la precede, registrato come atto autonomo; individuazione di quattro audizioni sul caso e di due acquisizioni ministeriali datate, delle quali una proveniente dal Dicastero presso il quale fu redatto il repertorio; esposizione integrale della catena di custodia del carteggio del millenovecentonovanta, con individuazione del meccanismo per il quale una parte delle lacune si forma senza alcuna volontà; enunciazione della dodicesima regola della risalita; registrazione di una constatazione negativa formalizzata da quattro amministrazioni distinte, qualificata come modello della classe; individuazione di un fascicolo processuale trasmesso per competenza fra due Procure; ricostruzione della genealogia di un dossier di provenienza estera e riduzione di sei oggetti a una catena sola; registrazione di due esiti giudiziari, dei quali uno esclude ogni responsabilità penale degli imputati; quattro voci nuove iscritte in tavola.</w:t>
      </w:r>
    </w:p>
    <w:p>
      <w:pPr>
        <w:spacing w:line="276" w:lineRule="auto" w:after="120"/>
        <w:ind w:firstLine="425"/>
        <w:jc w:val="both"/>
      </w:pPr>
      <w:r>
        <w:rPr>
          <w:rFonts w:ascii="Times New Roman" w:hAnsi="Times New Roman" w:cs="Times New Roman" w:eastAsia="Times New Roman"/>
          <w:b w:val="0"/>
          <w:sz w:val="24"/>
        </w:rPr>
        <w:t>Esito negativo: il resoconto dell'audizione non è posseduto; l'elenco sommario delle esclusioni non è posseduto; le risposte delle quattro sedi non sono possedute nel testo; la relazione del consulente non è posseduta; lo Stato Zero sul repertorio del Gabinetto si restringe e non si chiude.</w:t>
      </w:r>
    </w:p>
    <w:p>
      <w:pPr>
        <w:spacing w:line="276" w:lineRule="auto" w:after="120"/>
        <w:ind w:firstLine="425"/>
        <w:jc w:val="both"/>
      </w:pPr>
      <w:r>
        <w:rPr>
          <w:rFonts w:ascii="Times New Roman" w:hAnsi="Times New Roman" w:cs="Times New Roman" w:eastAsia="Times New Roman"/>
          <w:b w:val="0"/>
          <w:sz w:val="24"/>
        </w:rPr>
        <w:t>Riga di errore evitato. Si registra una confusione che il presente atto ha sfiorato e non commesso, poiché registrare l'errore evitato serve quanto registrare quello commesso. L'appendice settima aveva dichiarato Stato Zero sull'esito delle richieste rivolte nel millenovecentonovantacinque, fra le altre, all'ambasciata di uno Stato dell'Europa centrale. La presente unità documenta l'acquisizione di materiale proveniente da quel medesimo Stato. Le due cose non si congiungono: il carteggio qui documentato risale al millenovecentonovanta e pervenne per via di servizio e poi di magistratura, mentre la richiesta del millenovecentonovantacinque fu diplomatica e il suo esito resta ignoto. Un materiale che provenga dal medesimo paese non è la risposta a una richiesta rivolta a quel paese, e trattarlo come tale avrebbe chiuso uno Stato Zero che resta aperto.</w:t>
      </w:r>
    </w:p>
    <w:p>
      <w:pPr>
        <w:spacing w:line="276" w:lineRule="auto" w:after="120"/>
        <w:ind w:firstLine="425"/>
        <w:jc w:val="both"/>
      </w:pPr>
      <w:r>
        <w:rPr>
          <w:rFonts w:ascii="Times New Roman" w:hAnsi="Times New Roman" w:cs="Times New Roman" w:eastAsia="Times New Roman"/>
          <w:b w:val="0"/>
          <w:sz w:val="24"/>
        </w:rPr>
        <w:t>Riga di avvertenza. Le persone menzionate nelle fonti qui impiegate lo sono in quanto le loro qualità appartengono agli estremi degli atti, e si sono designate per funzione ove la funzione bastasse. Il presente atto non riferisce il contenuto di alcuna audizione, di alcun fascicolo e di alcuna scheda, e non attribuisce ad alcuno alcunché. Si è registrato per intero l'unico esito di merito che le fonti recano, ed è un esito di esclusione di responsabilità.</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OTTAVA ALLA FASE SETTIMA, il canale orientale, la quarta persona e uno Stato Zero formalizzato da quattro apparati, quindici agosto duemilaventisei. I settanta Capitoli restano settanta. Le redazioni anteriori non sono modificate: le pietre deposte non si scalpellano. Resta sovrana la Regola di Ferro: dove la fonte documenta, l'opera certifica; dove la fonte tace, l'opera indaga e non afferma. Un'affermazione di completezza formulata dall'acquirente è una valutazione dell'acquirente; e si chieda sempre, oltre al fascicolo, l'elenco di ciò che dal fascicolo è stato escluso.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