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120"/>
        <w:ind w:firstLine="0"/>
        <w:jc w:val="center"/>
      </w:pPr>
      <w:r>
        <w:rPr>
          <w:rFonts w:ascii="Times New Roman" w:hAnsi="Times New Roman" w:cs="Times New Roman" w:eastAsia="Times New Roman"/>
          <w:b/>
          <w:sz w:val="24"/>
        </w:rPr>
        <w:t>ALDO MORO</w:t>
      </w:r>
    </w:p>
    <w:p>
      <w:pPr>
        <w:spacing w:line="276" w:lineRule="auto" w:after="120"/>
        <w:ind w:firstLine="0"/>
        <w:jc w:val="center"/>
      </w:pPr>
      <w:r>
        <w:rPr>
          <w:rFonts w:ascii="Times New Roman" w:hAnsi="Times New Roman" w:cs="Times New Roman" w:eastAsia="Times New Roman"/>
          <w:b/>
          <w:sz w:val="24"/>
        </w:rPr>
        <w:t>IL REGISTRO DEI CINQUANTACINQUE GIORNI</w:t>
      </w:r>
    </w:p>
    <w:p>
      <w:pPr>
        <w:spacing w:line="276" w:lineRule="auto" w:after="120"/>
        <w:ind w:firstLine="0"/>
        <w:jc w:val="center"/>
      </w:pPr>
      <w:r>
        <w:rPr>
          <w:rFonts w:ascii="Times New Roman" w:hAnsi="Times New Roman" w:cs="Times New Roman" w:eastAsia="Times New Roman"/>
          <w:b/>
          <w:sz w:val="24"/>
        </w:rPr>
        <w:t>APPENDICE QUARTA ALLA FASE SETTIMA</w:t>
      </w:r>
    </w:p>
    <w:p>
      <w:pPr>
        <w:spacing w:line="276" w:lineRule="auto" w:after="120"/>
        <w:ind w:firstLine="0"/>
        <w:jc w:val="center"/>
      </w:pPr>
      <w:r>
        <w:rPr>
          <w:rFonts w:ascii="Times New Roman" w:hAnsi="Times New Roman" w:cs="Times New Roman" w:eastAsia="Times New Roman"/>
          <w:b/>
          <w:sz w:val="24"/>
        </w:rPr>
        <w:t>Chiusura dello Stato Zero sul fascicolo MORO</w:t>
      </w:r>
    </w:p>
    <w:p>
      <w:pPr>
        <w:spacing w:line="276" w:lineRule="auto" w:after="120"/>
        <w:ind w:firstLine="0"/>
        <w:jc w:val="center"/>
      </w:pPr>
      <w:r>
        <w:rPr>
          <w:rFonts w:ascii="Times New Roman" w:hAnsi="Times New Roman" w:cs="Times New Roman" w:eastAsia="Times New Roman"/>
          <w:b/>
          <w:sz w:val="24"/>
        </w:rPr>
        <w:t>L'indice generale delle acquisizioni e le diciannove unità non individuate</w:t>
      </w:r>
    </w:p>
    <w:p>
      <w:pPr>
        <w:spacing w:line="276" w:lineRule="auto" w:after="120"/>
        <w:ind w:firstLine="0"/>
        <w:jc w:val="center"/>
      </w:pPr>
      <w:r>
        <w:rPr>
          <w:rFonts w:ascii="Times New Roman" w:hAnsi="Times New Roman" w:cs="Times New Roman" w:eastAsia="Times New Roman"/>
          <w:b/>
          <w:sz w:val="24"/>
        </w:rPr>
        <w:t>Luigi De Michele</w:t>
      </w:r>
    </w:p>
    <w:p>
      <w:pPr>
        <w:spacing w:line="276" w:lineRule="auto" w:after="120"/>
        <w:ind w:firstLine="0"/>
        <w:jc w:val="center"/>
      </w:pPr>
      <w:r>
        <w:rPr>
          <w:rFonts w:ascii="Times New Roman" w:hAnsi="Times New Roman" w:cs="Times New Roman" w:eastAsia="Times New Roman"/>
          <w:b/>
          <w:sz w:val="24"/>
        </w:rPr>
        <w:t>15 agosto 2026</w:t>
      </w:r>
    </w:p>
    <w:p>
      <w:pPr>
        <w:spacing w:line="276" w:lineRule="auto" w:after="120" w:before="240"/>
        <w:ind w:firstLine="0"/>
        <w:jc w:val="left"/>
      </w:pPr>
      <w:r>
        <w:rPr>
          <w:rFonts w:ascii="Times New Roman" w:hAnsi="Times New Roman" w:cs="Times New Roman" w:eastAsia="Times New Roman"/>
          <w:b/>
          <w:sz w:val="24"/>
        </w:rPr>
        <w:t>Atto di edizione dell'appendice quarta</w:t>
      </w:r>
    </w:p>
    <w:p>
      <w:pPr>
        <w:spacing w:line="276" w:lineRule="auto" w:after="120"/>
        <w:ind w:firstLine="425"/>
        <w:jc w:val="both"/>
      </w:pPr>
      <w:r>
        <w:rPr>
          <w:rFonts w:ascii="Times New Roman" w:hAnsi="Times New Roman" w:cs="Times New Roman" w:eastAsia="Times New Roman"/>
          <w:b w:val="0"/>
          <w:sz w:val="24"/>
        </w:rPr>
        <w:t>La presente è appendice quarta alla Fase Settima e chiude lo Stato Zero dichiarato al primo punto della Parte sesta dell'appendice terza, il quale registrava che diciannove unità del fascicolo tematico dedicato al caso non erano individuate. Come le tre anteriori, essa non modifica alcun Capitolo e non ne aggiunge di nuovi: i settanta restano settanta.</w:t>
      </w:r>
    </w:p>
    <w:p>
      <w:pPr>
        <w:spacing w:line="276" w:lineRule="auto" w:after="120"/>
        <w:ind w:firstLine="425"/>
        <w:jc w:val="both"/>
      </w:pPr>
      <w:r>
        <w:rPr>
          <w:rFonts w:ascii="Times New Roman" w:hAnsi="Times New Roman" w:cs="Times New Roman" w:eastAsia="Times New Roman"/>
          <w:b w:val="0"/>
          <w:sz w:val="24"/>
        </w:rPr>
        <w:t>Lo Stato Zero è durato meno di un giorno. Va registrato per ciò che è: non un successo di ricerca, ma la seconda manifestazione consecutiva del medesimo difetto, che è dichiarare muto ciò che non si è interrogato. L'appendice terza aveva tratto la regola secondo cui nessuno Stato Zero si dichiara prima di avere esaurito il posseduto, e l'aveva tratta a proprio sfavore. Poche ore dopo essa vi è incorsa di nuovo, perché il documento che qui chiude la sua lacuna si trovava nel medesimo insieme di materiali dal quale essa aveva tratto i propri ventinove reperti.</w:t>
      </w:r>
    </w:p>
    <w:p>
      <w:pPr>
        <w:spacing w:line="276" w:lineRule="auto" w:after="120"/>
        <w:ind w:firstLine="425"/>
        <w:jc w:val="both"/>
      </w:pPr>
      <w:r>
        <w:rPr>
          <w:rFonts w:ascii="Times New Roman" w:hAnsi="Times New Roman" w:cs="Times New Roman" w:eastAsia="Times New Roman"/>
          <w:b w:val="0"/>
          <w:sz w:val="24"/>
        </w:rPr>
        <w:t>Se ne trae un corollario più severo della regola anteriore, e vale contro chi lo scrive. Chi abbia appena tratto una regola dal proprio errore è, nelle ore immediatamente successive, particolarmente esposto a ripeterlo, perché la soddisfazione di avere formulato la regola surroga l'esecuzione. La regola si osserva applicandola, non enunciandola.</w:t>
      </w:r>
    </w:p>
    <w:p>
      <w:pPr>
        <w:spacing w:line="276" w:lineRule="auto" w:after="120" w:before="240"/>
        <w:ind w:firstLine="0"/>
        <w:jc w:val="left"/>
      </w:pPr>
      <w:r>
        <w:rPr>
          <w:rFonts w:ascii="Times New Roman" w:hAnsi="Times New Roman" w:cs="Times New Roman" w:eastAsia="Times New Roman"/>
          <w:b/>
          <w:sz w:val="24"/>
        </w:rPr>
        <w:t>Parte prima — La fonte e la procedura di risoluzione</w:t>
      </w:r>
    </w:p>
    <w:p>
      <w:pPr>
        <w:spacing w:line="276" w:lineRule="auto" w:after="120"/>
        <w:ind w:firstLine="425"/>
        <w:jc w:val="both"/>
      </w:pPr>
      <w:r>
        <w:rPr>
          <w:rFonts w:ascii="Times New Roman" w:hAnsi="Times New Roman" w:cs="Times New Roman" w:eastAsia="Times New Roman"/>
          <w:b w:val="0"/>
          <w:sz w:val="24"/>
        </w:rPr>
        <w:t>La fonte è l'indice generale degli atti della Commissione parlamentare d'inchiesta sul terrorismo in Italia, X legislatura, alla sezione intitolata Documentazione relativa al caso Moro, stampata negli atti parlamentari a partire dalla pagina ottocentotrentasette. Essa consta di due parti: un indice di acquisizione, che elenca le unità nell'ordine di ingresso, e un indice tematico, che le riordina per materia in quattro sezioni.</w:t>
      </w:r>
    </w:p>
    <w:p>
      <w:pPr>
        <w:spacing w:line="276" w:lineRule="auto" w:after="120"/>
        <w:ind w:firstLine="425"/>
        <w:jc w:val="both"/>
      </w:pPr>
      <w:r>
        <w:rPr>
          <w:rFonts w:ascii="Times New Roman" w:hAnsi="Times New Roman" w:cs="Times New Roman" w:eastAsia="Times New Roman"/>
          <w:b w:val="0"/>
          <w:sz w:val="24"/>
        </w:rPr>
        <w:t>La procedura di risoluzione della numerazione va dichiarata, poiché il documento è una trascrizione con difetti di riconoscimento e la posizione dei numeri rispetto alle voci non è, alla lettura immediata, univoca. Si è stabilito che il numero segue la voce alla quale appartiene, e la determinazione non è stata assunta per impressione: è stata verificata su sette ancoraggi indipendenti, costituiti dalle unità che l'appendice terza aveva già individuate per estremi sui processi verbali, e precisamente le unità quattordicesima, sedicesima, diciassettesima, diciottesima, diciannovesima, ventesima e ventunesima. Tutte e sette collimano. Le sole voci per le quali il numero precede sono quelle a cavallo di un'interruzione di pagina, dove il numero della voce precedente compare in testa alla pagina successiva; e anche questa eccezione è verificata sugli ancoraggi della serie trentaseiesima.</w:t>
      </w:r>
    </w:p>
    <w:p>
      <w:pPr>
        <w:spacing w:line="276" w:lineRule="auto" w:after="120"/>
        <w:ind w:firstLine="425"/>
        <w:jc w:val="both"/>
      </w:pPr>
      <w:r>
        <w:rPr>
          <w:rFonts w:ascii="Times New Roman" w:hAnsi="Times New Roman" w:cs="Times New Roman" w:eastAsia="Times New Roman"/>
          <w:b w:val="0"/>
          <w:sz w:val="24"/>
        </w:rPr>
        <w:t>Si dichiara che la risoluzione è un'inferenza dell'opera e non un dato del documento, e che essa è falsificabile con un solo esemplare a stampa correttamente impaginato. Chi disponga dell'originale la verifichi.</w:t>
      </w:r>
    </w:p>
    <w:p>
      <w:pPr>
        <w:spacing w:line="276" w:lineRule="auto" w:after="120" w:before="240"/>
        <w:ind w:firstLine="0"/>
        <w:jc w:val="left"/>
      </w:pPr>
      <w:r>
        <w:rPr>
          <w:rFonts w:ascii="Times New Roman" w:hAnsi="Times New Roman" w:cs="Times New Roman" w:eastAsia="Times New Roman"/>
          <w:b/>
          <w:sz w:val="24"/>
        </w:rPr>
        <w:t>Parte seconda — Le unità individuate</w:t>
      </w:r>
    </w:p>
    <w:p>
      <w:pPr>
        <w:spacing w:line="276" w:lineRule="auto" w:after="120"/>
        <w:ind w:firstLine="425"/>
        <w:jc w:val="both"/>
      </w:pPr>
      <w:r>
        <w:rPr>
          <w:rFonts w:ascii="Times New Roman" w:hAnsi="Times New Roman" w:cs="Times New Roman" w:eastAsia="Times New Roman"/>
          <w:b w:val="0"/>
          <w:sz w:val="24"/>
        </w:rPr>
        <w:t>Il fascicolo consta di quarantasei unità numerate, alle quali si aggiungono un'unità bis e una serie interna a tre membri, per un totale di cinquanta unità distinte. Le ventinove già individuate dall'appendice terza sono confermate senza rettifiche. Le diciannove che mancavano sono individuate qui, e sono le seguenti.</w:t>
      </w:r>
    </w:p>
    <w:p>
      <w:pPr>
        <w:spacing w:line="276" w:lineRule="auto" w:after="120"/>
        <w:ind w:firstLine="425"/>
        <w:jc w:val="both"/>
      </w:pPr>
      <w:r>
        <w:rPr>
          <w:rFonts w:ascii="Times New Roman" w:hAnsi="Times New Roman" w:cs="Times New Roman" w:eastAsia="Times New Roman"/>
          <w:b w:val="0"/>
          <w:sz w:val="24"/>
        </w:rPr>
        <w:t>Le unità prima e seconda recano i due atti principali del terzo procedimento: l'ordinanza di rinvio a giudizio emessa il tredici agosto millenovecentottantaquattro dal giudice istruttore del Tribunale di Roma, e la sentenza di primo grado della Corte di Assise di Roma del dodici ottobre millenovecentottantotto, pervenuta il sei febbraio millenovecentonovanta.</w:t>
      </w:r>
    </w:p>
    <w:p>
      <w:pPr>
        <w:spacing w:line="276" w:lineRule="auto" w:after="120"/>
        <w:ind w:firstLine="425"/>
        <w:jc w:val="both"/>
      </w:pPr>
      <w:r>
        <w:rPr>
          <w:rFonts w:ascii="Times New Roman" w:hAnsi="Times New Roman" w:cs="Times New Roman" w:eastAsia="Times New Roman"/>
          <w:b w:val="0"/>
          <w:sz w:val="24"/>
        </w:rPr>
        <w:t>L'unità terza reca la situazione processuale di due militanti, trasmessa dal Comando generale dell'Arma dei Carabinieri e riferita alla data del dieci febbraio millenovecentottantanove.</w:t>
      </w:r>
    </w:p>
    <w:p>
      <w:pPr>
        <w:spacing w:line="276" w:lineRule="auto" w:after="120"/>
        <w:ind w:firstLine="425"/>
        <w:jc w:val="both"/>
      </w:pPr>
      <w:r>
        <w:rPr>
          <w:rFonts w:ascii="Times New Roman" w:hAnsi="Times New Roman" w:cs="Times New Roman" w:eastAsia="Times New Roman"/>
          <w:b w:val="0"/>
          <w:sz w:val="24"/>
        </w:rPr>
        <w:t>Le unità dalla quarta all'undicesima recano videoregistrazioni televisive: una rubrica del ventisette gennaio millenovecentottantanove dedicata a un omicidio e a una rapina dei quali si dirà alla Parte quarta; un'intervista del venti giugno millenovecentottantanove; quattro puntate di una trasmissione di ricostruzione storica, del ventuno e ventotto febbraio, del sette marzo e dell'undici aprile millenovecentonovanta, delle quali tre espressamente dedicate al caso; due servizi giornalistici del millenovecentottantadue e del millenovecentottantasei.</w:t>
      </w:r>
    </w:p>
    <w:p>
      <w:pPr>
        <w:spacing w:line="276" w:lineRule="auto" w:after="120"/>
        <w:ind w:firstLine="425"/>
        <w:jc w:val="both"/>
      </w:pPr>
      <w:r>
        <w:rPr>
          <w:rFonts w:ascii="Times New Roman" w:hAnsi="Times New Roman" w:cs="Times New Roman" w:eastAsia="Times New Roman"/>
          <w:b w:val="0"/>
          <w:sz w:val="24"/>
        </w:rPr>
        <w:t>Si qualifica questa sottoserie per ciò che è, poiché la sua natura determina interamente il suo uso. Otto unità su cinquanta, cioè circa un sesto del fascicolo, sono produzioni televisive. Esse appartengono alla classe che il repertorio dell'opera qualifica come produzione narrativa e audiovisiva, dichiarandola derivata e non conferendole grado alcuno sui fatti. La loro presenza nel fascicolo di una Commissione d'inchiesta non muta questo statuto: essa attesta che la Commissione le acquisì, il che è un fatto sulla Commissione e non sul caso. Si registra la circostanza perché è precisamente il genere di dato che, riferito senza qualificazione, produce l'impressione di una documentazione più densa di quanto sia.</w:t>
      </w:r>
    </w:p>
    <w:p>
      <w:pPr>
        <w:spacing w:line="276" w:lineRule="auto" w:after="120"/>
        <w:ind w:firstLine="425"/>
        <w:jc w:val="both"/>
      </w:pPr>
      <w:r>
        <w:rPr>
          <w:rFonts w:ascii="Times New Roman" w:hAnsi="Times New Roman" w:cs="Times New Roman" w:eastAsia="Times New Roman"/>
          <w:b w:val="0"/>
          <w:sz w:val="24"/>
        </w:rPr>
        <w:t>L'unità dodicesima reca i verbali degli interrogatori di due militanti resi il dodici e ventisei febbraio millenovecentottantasei dinanzi al giudice istruttore Imposimato e il cinque novembre millenovecentottantasette e undici luglio millenovecentottantotto dinanzi al giudice istruttore Priore, con allegata la sentenza della Corte di Assise d'appello di Milano del due ottobre millenovecentottantasette che riconosce la dissociazione di uno di essi.</w:t>
      </w:r>
    </w:p>
    <w:p>
      <w:pPr>
        <w:spacing w:line="276" w:lineRule="auto" w:after="120"/>
        <w:ind w:firstLine="425"/>
        <w:jc w:val="both"/>
      </w:pPr>
      <w:r>
        <w:rPr>
          <w:rFonts w:ascii="Times New Roman" w:hAnsi="Times New Roman" w:cs="Times New Roman" w:eastAsia="Times New Roman"/>
          <w:b w:val="0"/>
          <w:sz w:val="24"/>
        </w:rPr>
        <w:t>L'unità tredicesima reca l'ordinanza-sentenza emessa il diciotto agosto millenovecentonovanta dal giudice istruttore nel quarto procedimento.</w:t>
      </w:r>
    </w:p>
    <w:p>
      <w:pPr>
        <w:spacing w:line="276" w:lineRule="auto" w:after="120"/>
        <w:ind w:firstLine="425"/>
        <w:jc w:val="both"/>
      </w:pPr>
      <w:r>
        <w:rPr>
          <w:rFonts w:ascii="Times New Roman" w:hAnsi="Times New Roman" w:cs="Times New Roman" w:eastAsia="Times New Roman"/>
          <w:b w:val="0"/>
          <w:sz w:val="24"/>
        </w:rPr>
        <w:t>L'unità quindicesima reca i documenti consegnati dal capo della polizia nel corso della testimonianza formale del diciassette ottobre millenovecentonovanta. Si segnala che la data della testimonianza cade otto giorni dopo il secondo rinvenimento milanese, e che la Commissione acquisì dunque documenti consegnati da quel vertice nell'immediatezza di quel fatto.</w:t>
      </w:r>
    </w:p>
    <w:p>
      <w:pPr>
        <w:spacing w:line="276" w:lineRule="auto" w:after="120"/>
        <w:ind w:firstLine="425"/>
        <w:jc w:val="both"/>
      </w:pPr>
      <w:r>
        <w:rPr>
          <w:rFonts w:ascii="Times New Roman" w:hAnsi="Times New Roman" w:cs="Times New Roman" w:eastAsia="Times New Roman"/>
          <w:b w:val="0"/>
          <w:sz w:val="24"/>
        </w:rPr>
        <w:t>L'unità venticinquesima reca gli atti confluiti nel procedimento-stralcio numero 320/91 del Tribunale di Roma, dei quali si dirà alla Parte quarta.</w:t>
      </w:r>
    </w:p>
    <w:p>
      <w:pPr>
        <w:spacing w:line="276" w:lineRule="auto" w:after="120"/>
        <w:ind w:firstLine="425"/>
        <w:jc w:val="both"/>
      </w:pPr>
      <w:r>
        <w:rPr>
          <w:rFonts w:ascii="Times New Roman" w:hAnsi="Times New Roman" w:cs="Times New Roman" w:eastAsia="Times New Roman"/>
          <w:b w:val="0"/>
          <w:sz w:val="24"/>
        </w:rPr>
        <w:t>L'unità ventiseiesima reca la relazione tecnica disposta dalla Procura della Repubblica di Roma nel procedimento numero 3349/90 C del registro generale sul materiale rinvenuto presso la base milanese, pervenuta il venticinque giugno millenovecentonovantuno.</w:t>
      </w:r>
    </w:p>
    <w:p>
      <w:pPr>
        <w:spacing w:line="276" w:lineRule="auto" w:after="120"/>
        <w:ind w:firstLine="425"/>
        <w:jc w:val="both"/>
      </w:pPr>
      <w:r>
        <w:rPr>
          <w:rFonts w:ascii="Times New Roman" w:hAnsi="Times New Roman" w:cs="Times New Roman" w:eastAsia="Times New Roman"/>
          <w:b w:val="0"/>
          <w:sz w:val="24"/>
        </w:rPr>
        <w:t>L'unità ventisettesima reca il verbale di assunzione di informazioni di uno studioso della materia, del sei dicembre millenovecentonovanta, e la traduzione in lingua italiana di un documento straniero sulle operazioni di stabilizzazione, pubblicato in lingua originale negli atti parlamentari al volume settimo del documento XXII numero 2-quater/7/1, in allegato alla relazione della Commissione d'inchiesta sulla loggia coperta. È l'unica unità del fascicolo che rechi una segnatura parlamentare completa di un documento anteriore, ed è pertanto quella che consente il rinvio più preciso verso il corpus maggiore.</w:t>
      </w:r>
    </w:p>
    <w:p>
      <w:pPr>
        <w:spacing w:line="276" w:lineRule="auto" w:after="120"/>
        <w:ind w:firstLine="425"/>
        <w:jc w:val="both"/>
      </w:pPr>
      <w:r>
        <w:rPr>
          <w:rFonts w:ascii="Times New Roman" w:hAnsi="Times New Roman" w:cs="Times New Roman" w:eastAsia="Times New Roman"/>
          <w:b w:val="0"/>
          <w:sz w:val="24"/>
        </w:rPr>
        <w:t>L'unità quarantaquattresima reca copia del provvedimento di archiviazione del ventotto gennaio millenovecentonovantadue del procedimento numero 3349/90 C relativo ai ritrovamenti milanesi, adottato previa separazione degli atti relativi alle dichiarazioni di un collaboratore di giustizia.</w:t>
      </w:r>
    </w:p>
    <w:p>
      <w:pPr>
        <w:spacing w:line="276" w:lineRule="auto" w:after="120"/>
        <w:ind w:firstLine="425"/>
        <w:jc w:val="both"/>
      </w:pPr>
      <w:r>
        <w:rPr>
          <w:rFonts w:ascii="Times New Roman" w:hAnsi="Times New Roman" w:cs="Times New Roman" w:eastAsia="Times New Roman"/>
          <w:b w:val="0"/>
          <w:sz w:val="24"/>
        </w:rPr>
        <w:t>L'unità quarantacinquesima reca gli atti del procedimento relativo all'omicidio di un giornalista, numero 2826/89 del giudice istruttore, selezionati per la banca dati della Commissione in otto faldoni con indice nel fascicolo, pervenuti il sei febbraio millenovecentonovantadue.</w:t>
      </w:r>
    </w:p>
    <w:p>
      <w:pPr>
        <w:spacing w:line="276" w:lineRule="auto" w:after="120"/>
        <w:ind w:firstLine="425"/>
        <w:jc w:val="both"/>
      </w:pPr>
      <w:r>
        <w:rPr>
          <w:rFonts w:ascii="Times New Roman" w:hAnsi="Times New Roman" w:cs="Times New Roman" w:eastAsia="Times New Roman"/>
          <w:b w:val="0"/>
          <w:sz w:val="24"/>
        </w:rPr>
        <w:t>Restano da segnalare due unità che l'appendice terza non aveva potute individuare perché assenti dai verbali posseduti, e che l'indice reca. L'unità quattordicesima bis reca la prima parte dell'unità quattordicesima priva delle parti espunte dalla Commissione, trasmessa ai Presidenti delle Camere l'undici gennaio millenovecentonovantuno e dichiarata divulgabile. L'unità trentaseiesima prima reca gli atti estratti dai due procedimenti milanesi connessi al ritrovamento.</w:t>
      </w:r>
    </w:p>
    <w:p>
      <w:pPr>
        <w:spacing w:line="276" w:lineRule="auto" w:after="120" w:before="240"/>
        <w:ind w:firstLine="0"/>
        <w:jc w:val="left"/>
      </w:pPr>
      <w:r>
        <w:rPr>
          <w:rFonts w:ascii="Times New Roman" w:hAnsi="Times New Roman" w:cs="Times New Roman" w:eastAsia="Times New Roman"/>
          <w:b/>
          <w:sz w:val="24"/>
        </w:rPr>
        <w:t>Parte terza — La numerazione del 1990 e la sua assenza nel 1978</w:t>
      </w:r>
    </w:p>
    <w:p>
      <w:pPr>
        <w:spacing w:line="276" w:lineRule="auto" w:after="120"/>
        <w:ind w:firstLine="425"/>
        <w:jc w:val="both"/>
      </w:pPr>
      <w:r>
        <w:rPr>
          <w:rFonts w:ascii="Times New Roman" w:hAnsi="Times New Roman" w:cs="Times New Roman" w:eastAsia="Times New Roman"/>
          <w:b w:val="0"/>
          <w:sz w:val="24"/>
        </w:rPr>
        <w:t>L'unità quattordicesima, che l'appendice terza aveva individuata sui verbali nella formulazione sintetica ivi impiegata, riceve dall'indice una descrizione analitica che muta il valore della voce. Essa consta di tre elementi distinti: la copia integrale del manoscritto in quattrocentoventuno fogli della documentazione rinvenuta il nove ottobre millenovecentonovanta; un'altra copia del medesimo manoscritto recante la numerazione definitiva attribuita dagli uffici della Commissione; la trascrizione dattiloscritta curata dai medesimi uffici. L'indice del contenuto è nel fascicolo, e il primo documento è dichiarato non divulgabile.</w:t>
      </w:r>
    </w:p>
    <w:p>
      <w:pPr>
        <w:spacing w:line="276" w:lineRule="auto" w:after="120"/>
        <w:ind w:firstLine="425"/>
        <w:jc w:val="both"/>
      </w:pPr>
      <w:r>
        <w:rPr>
          <w:rFonts w:ascii="Times New Roman" w:hAnsi="Times New Roman" w:cs="Times New Roman" w:eastAsia="Times New Roman"/>
          <w:b w:val="0"/>
          <w:sz w:val="24"/>
        </w:rPr>
        <w:t>Il secondo elemento va letto per ciò che è, e va accostato alla sola irregolarità che l'intera vicenda abbia superata tutti e tre i tempi del test.</w:t>
      </w:r>
    </w:p>
    <w:p>
      <w:pPr>
        <w:spacing w:line="276" w:lineRule="auto" w:after="120"/>
        <w:ind w:firstLine="425"/>
        <w:jc w:val="both"/>
      </w:pPr>
      <w:r>
        <w:rPr>
          <w:rFonts w:ascii="Times New Roman" w:hAnsi="Times New Roman" w:cs="Times New Roman" w:eastAsia="Times New Roman"/>
          <w:b w:val="0"/>
          <w:sz w:val="24"/>
        </w:rPr>
        <w:t>Nell'ottobre millenovecentosettantotto, nel medesimo immobile, il fascicolo degli scritti fu asportato dal luogo prima che i fogli fossero numerati a verbale, e restituito dopo alcune ore. La conseguenza, enunciata dall'opera con esattezza e qui ripetuta senza attenuazioni, è che non è provato che alcunché sia stato sottratto e non è provato che nulla lo sia stato: l'unico modo di stabilirlo era contare i fogli prima, e l'irregolarità consistette nel non contarli.</w:t>
      </w:r>
    </w:p>
    <w:p>
      <w:pPr>
        <w:spacing w:line="276" w:lineRule="auto" w:after="120"/>
        <w:ind w:firstLine="425"/>
        <w:jc w:val="both"/>
      </w:pPr>
      <w:r>
        <w:rPr>
          <w:rFonts w:ascii="Times New Roman" w:hAnsi="Times New Roman" w:cs="Times New Roman" w:eastAsia="Times New Roman"/>
          <w:b w:val="0"/>
          <w:sz w:val="24"/>
        </w:rPr>
        <w:t>Nel millenovecentonovanta, sul materiale del secondo rinvenimento, la numerazione definitiva fu attribuita, e fu attribuita dagli uffici di un organo parlamentare, e ne fu prodotta una copia distinta dall'originale così da conservare entrambe le versioni, e su di essa fu costruita una trascrizione dattiloscritta con indice.</w:t>
      </w:r>
    </w:p>
    <w:p>
      <w:pPr>
        <w:spacing w:line="276" w:lineRule="auto" w:after="120"/>
        <w:ind w:firstLine="425"/>
        <w:jc w:val="both"/>
      </w:pPr>
      <w:r>
        <w:rPr>
          <w:rFonts w:ascii="Times New Roman" w:hAnsi="Times New Roman" w:cs="Times New Roman" w:eastAsia="Times New Roman"/>
          <w:b w:val="0"/>
          <w:sz w:val="24"/>
        </w:rPr>
        <w:t>Si enuncia ciò che questo accostamento stabilisce e ciò che non stabilisce, poiché è il punto del presente atto nel quale il rischio di inferire oltre la fonte è massimo.</w:t>
      </w:r>
    </w:p>
    <w:p>
      <w:pPr>
        <w:spacing w:line="276" w:lineRule="auto" w:after="120"/>
        <w:ind w:firstLine="425"/>
        <w:jc w:val="both"/>
      </w:pPr>
      <w:r>
        <w:rPr>
          <w:rFonts w:ascii="Times New Roman" w:hAnsi="Times New Roman" w:cs="Times New Roman" w:eastAsia="Times New Roman"/>
          <w:b w:val="0"/>
          <w:sz w:val="24"/>
        </w:rPr>
        <w:t>Non stabilisce alcuna intenzione, né nel millenovecentosettantotto né nel millenovecentonovanta. Non stabilisce che l'omissione anteriore fosse deliberata, e nulla di quanto qui si aggiunge muove quella questione, che resta dove l'opera l'ha lasciata. Non stabilisce che la numerazione del millenovecentonovanta fosse disposta in considerazione dell'omissione anteriore, circostanza che nessuna delle fonti qui impiegate afferma.</w:t>
      </w:r>
    </w:p>
    <w:p>
      <w:pPr>
        <w:spacing w:line="276" w:lineRule="auto" w:after="120"/>
        <w:ind w:firstLine="425"/>
        <w:jc w:val="both"/>
      </w:pPr>
      <w:r>
        <w:rPr>
          <w:rFonts w:ascii="Times New Roman" w:hAnsi="Times New Roman" w:cs="Times New Roman" w:eastAsia="Times New Roman"/>
          <w:b w:val="0"/>
          <w:sz w:val="24"/>
        </w:rPr>
        <w:t>Stabilisce una cosa sola, ed è di natura comparativa. Sul medesimo genere di materiale, nel medesimo immobile, a dodici anni di distanza, la procedura di numerazione preventiva fu applicata la seconda volta e non la prima. Ne segue che essa era disponibile, praticabile e ritenuta necessaria da chi ebbe la custodia del materiale nella seconda occasione. L'argomento secondo cui non contare i fogli sarebbe stato, nelle condizioni del millenovecentosettantotto, prassi ordinaria, riceve così un termine di comparazione interno alla vicenda medesima: non un tasso ordinario di omissioni presso altri uffici, che la Voce quinta della tavola domanda e che non è ancora conseguito, ma il comportamento tenuto dagli apparati sul medesimo oggetto in un secondo momento. È una comparazione più debole di quella che la Voce quinta prescrive, e va impiegata come tale e non in sua vece.</w:t>
      </w:r>
    </w:p>
    <w:p>
      <w:pPr>
        <w:spacing w:line="276" w:lineRule="auto" w:after="120"/>
        <w:ind w:firstLine="425"/>
        <w:jc w:val="both"/>
      </w:pPr>
      <w:r>
        <w:rPr>
          <w:rFonts w:ascii="Times New Roman" w:hAnsi="Times New Roman" w:cs="Times New Roman" w:eastAsia="Times New Roman"/>
          <w:b w:val="0"/>
          <w:sz w:val="24"/>
        </w:rPr>
        <w:t>L'unità quattordicesima bis aggiunge un dato di segno diverso e va registrato con la medesima cura. Essa attesta che la Commissione espunse alcune parti dall'unità quattordicesima, e che della versione priva delle parti espunte fu fatta una trasmissione ai Presidenti delle Camere in data determinata. L'espunzione è dunque un atto dichiarato, datato, circoscritto a una parte identificata e affiancato dalla conservazione della versione integrale nella medesima serie. È il contrario di una sottrazione: è una limitazione di divulgazione che lascia intatto l'oggetto e ne dichiara l'esistenza. La distinzione fra un'espunzione dichiarata e una sottrazione occulta è, in questa materia, la distinzione che più frequentemente si perde, e la si fissa qui su un caso nel quale entrambe le versioni risultano agli atti.</w:t>
      </w:r>
    </w:p>
    <w:p>
      <w:pPr>
        <w:spacing w:line="276" w:lineRule="auto" w:after="120" w:before="240"/>
        <w:ind w:firstLine="0"/>
        <w:jc w:val="left"/>
      </w:pPr>
      <w:r>
        <w:rPr>
          <w:rFonts w:ascii="Times New Roman" w:hAnsi="Times New Roman" w:cs="Times New Roman" w:eastAsia="Times New Roman"/>
          <w:b/>
          <w:sz w:val="24"/>
        </w:rPr>
        <w:t>Parte quarta — Il terzo soggetto riceve i propri atti</w:t>
      </w:r>
    </w:p>
    <w:p>
      <w:pPr>
        <w:spacing w:line="276" w:lineRule="auto" w:after="120"/>
        <w:ind w:firstLine="425"/>
        <w:jc w:val="both"/>
      </w:pPr>
      <w:r>
        <w:rPr>
          <w:rFonts w:ascii="Times New Roman" w:hAnsi="Times New Roman" w:cs="Times New Roman" w:eastAsia="Times New Roman"/>
          <w:b w:val="0"/>
          <w:sz w:val="24"/>
        </w:rPr>
        <w:t>L'appendice terza aveva dichiarato che la Voce sesta della tavola, dedicata all'esame materiale del documento apocrifo del diciotto aprile millenovecentosettantotto, non era toccata da alcuna delle ventinove unità individuate, e aveva registrato l'assenza. L'indice generale la smentisce, e la smentita va registrata prima di quanto essa produce.</w:t>
      </w:r>
    </w:p>
    <w:p>
      <w:pPr>
        <w:spacing w:line="276" w:lineRule="auto" w:after="120"/>
        <w:ind w:firstLine="425"/>
        <w:jc w:val="both"/>
      </w:pPr>
      <w:r>
        <w:rPr>
          <w:rFonts w:ascii="Times New Roman" w:hAnsi="Times New Roman" w:cs="Times New Roman" w:eastAsia="Times New Roman"/>
          <w:b w:val="0"/>
          <w:sz w:val="24"/>
        </w:rPr>
        <w:t>L'unità venticinquesima reca gli atti confluiti nel procedimento-stralcio numero 320/91 presso il Tribunale di Roma, concernente una rapina a un istituto di trasporto valori e l'omicidio di un falsario, e comprende tre atti giudiziari: una requisitoria del ventitré giugno, un'ordinanza-sentenza del ventitré marzo millenovecentonovantuno proveniente dal procedimento numero 2359/86 del giudice istruttore, e un'ordinanza-sentenza del dodici luglio millenovecentottantasei proveniente dal procedimento numero 7642/84. L'unità quarta reca la videoregistrazione di una rubrica televisiva del ventisette gennaio millenovecentottantanove dedicata ai medesimi due fatti.</w:t>
      </w:r>
    </w:p>
    <w:p>
      <w:pPr>
        <w:spacing w:line="276" w:lineRule="auto" w:after="120"/>
        <w:ind w:firstLine="425"/>
        <w:jc w:val="both"/>
      </w:pPr>
      <w:r>
        <w:rPr>
          <w:rFonts w:ascii="Times New Roman" w:hAnsi="Times New Roman" w:cs="Times New Roman" w:eastAsia="Times New Roman"/>
          <w:b w:val="0"/>
          <w:sz w:val="24"/>
        </w:rPr>
        <w:t>La persona la cui morte è oggetto di quel procedimento è quella che i processi hanno identificato, dopo il suo decesso, come autore materiale del comunicato apocrifo che durante i cinquantacinque giorni annunciò falsamente la morte del prigioniero e ne indicò il luogo di rinvenimento, dal quale conseguirono operazioni di ricerca con impiego di mezzi ed esito negativo. È il fatto che l'opera qualifica come terzo soggetto, e che il memorandum operativo colloca fuori dalla scala degli scenari perché non è un'ipotesi ma un accertamento, presente in tutti e tre.</w:t>
      </w:r>
    </w:p>
    <w:p>
      <w:pPr>
        <w:spacing w:line="276" w:lineRule="auto" w:after="120"/>
        <w:ind w:firstLine="425"/>
        <w:jc w:val="both"/>
      </w:pPr>
      <w:r>
        <w:rPr>
          <w:rFonts w:ascii="Times New Roman" w:hAnsi="Times New Roman" w:cs="Times New Roman" w:eastAsia="Times New Roman"/>
          <w:b w:val="0"/>
          <w:sz w:val="24"/>
        </w:rPr>
        <w:t>Ne segue che il filone del terzo soggetto, il quale nell'intera raccolta è quello con il migliore rapporto fra costo e rendimento atteso perché parte da un atto ostile certo e cerca un solo anello anziché una catena intera, dispone ora di tre atti giudiziari individuati per numero di procedimento e per data, e di un procedimento-stralcio che li riunisce.</w:t>
      </w:r>
    </w:p>
    <w:p>
      <w:pPr>
        <w:spacing w:line="276" w:lineRule="auto" w:after="120"/>
        <w:ind w:firstLine="425"/>
        <w:jc w:val="both"/>
      </w:pPr>
      <w:r>
        <w:rPr>
          <w:rFonts w:ascii="Times New Roman" w:hAnsi="Times New Roman" w:cs="Times New Roman" w:eastAsia="Times New Roman"/>
          <w:b w:val="0"/>
          <w:sz w:val="24"/>
        </w:rPr>
        <w:t>Si dichiara con precisione che cosa questo muti nella tavola e nelle schede operative. La Voce sesta non si chiude, poiché essa domanda l'esame materiale del supporto, del mezzo di scrittura e delle modalità di confezione del documento apocrifo, e nessuno dei tre atti è dichiarato averlo per oggetto. Essa muta però classe nel medesimo modo in cui la Voce prima l'ha mutata: gli atti del procedimento nel quale la posizione dell'autore fu trattata sono individuati per estremi e conservati, e la ricerca cessa di essere esplorativa. La Scheda dedicata alla serie dei falsi successivi, che chi scrive ritiene la più trascurata rispetto al proprio potenziale e che nessuno risulta avere trattata come serie unitaria, acquista il proprio ancoraggio procedurale, poiché due delle tre ordinanze-sentenze provengono da procedimenti anteriori distinti e la loro confluenza in uno stralcio unico è essa stessa un dato sulla connessione fra i fatti.</w:t>
      </w:r>
    </w:p>
    <w:p>
      <w:pPr>
        <w:spacing w:line="276" w:lineRule="auto" w:after="120"/>
        <w:ind w:firstLine="425"/>
        <w:jc w:val="both"/>
      </w:pPr>
      <w:r>
        <w:rPr>
          <w:rFonts w:ascii="Times New Roman" w:hAnsi="Times New Roman" w:cs="Times New Roman" w:eastAsia="Times New Roman"/>
          <w:b w:val="0"/>
          <w:sz w:val="24"/>
        </w:rPr>
        <w:t>Si iscrive in tavola la voce che ne discende.</w:t>
      </w:r>
    </w:p>
    <w:p>
      <w:pPr>
        <w:spacing w:line="276" w:lineRule="auto" w:after="120"/>
        <w:ind w:firstLine="425"/>
        <w:jc w:val="both"/>
      </w:pPr>
      <w:r>
        <w:rPr>
          <w:rFonts w:ascii="Times New Roman" w:hAnsi="Times New Roman" w:cs="Times New Roman" w:eastAsia="Times New Roman"/>
          <w:b w:val="0"/>
          <w:sz w:val="24"/>
        </w:rPr>
        <w:t>Voce ventiquattresima — Gli atti del procedimento-stralcio sul falsario. Oggetto: i tre atti giudiziari confluiti nel procedimento-stralcio numero 320/91 e la ragione della loro confluenza, con particolare riguardo a ciò che essi accertino quanto alla posizione dell'autore del documento apocrifo e quanto ai suoi rapporti fiduciari con apparati. Sede: Tribunale di Roma; in copia fra gli atti della Commissione, unità venticinquesima del fascicolo. Chiusura: acquisizione dei tre atti. Smentita: la constatazione che gli atti trattino esclusivamente la rapina e l'omicidio senza toccare la posizione dell'autore quanto ai documenti apocrifi, nel qual caso la voce non si chiude e la ricerca si sposta sui procedimenti nei quali quella posizione fu specificamente trattata.</w:t>
      </w:r>
    </w:p>
    <w:p>
      <w:pPr>
        <w:spacing w:line="276" w:lineRule="auto" w:after="120" w:before="240"/>
        <w:ind w:firstLine="0"/>
        <w:jc w:val="left"/>
      </w:pPr>
      <w:r>
        <w:rPr>
          <w:rFonts w:ascii="Times New Roman" w:hAnsi="Times New Roman" w:cs="Times New Roman" w:eastAsia="Times New Roman"/>
          <w:b/>
          <w:sz w:val="24"/>
        </w:rPr>
        <w:t>Parte quinta — Le due relazioni tecniche e i due procedimenti</w:t>
      </w:r>
    </w:p>
    <w:p>
      <w:pPr>
        <w:spacing w:line="276" w:lineRule="auto" w:after="120"/>
        <w:ind w:firstLine="425"/>
        <w:jc w:val="both"/>
      </w:pPr>
      <w:r>
        <w:rPr>
          <w:rFonts w:ascii="Times New Roman" w:hAnsi="Times New Roman" w:cs="Times New Roman" w:eastAsia="Times New Roman"/>
          <w:b w:val="0"/>
          <w:sz w:val="24"/>
        </w:rPr>
        <w:t>L'indice consente di distinguere due accertamenti tecnici che la designazione per classe confondeva, e la distinzione ha conseguenze.</w:t>
      </w:r>
    </w:p>
    <w:p>
      <w:pPr>
        <w:spacing w:line="276" w:lineRule="auto" w:after="120"/>
        <w:ind w:firstLine="425"/>
        <w:jc w:val="both"/>
      </w:pPr>
      <w:r>
        <w:rPr>
          <w:rFonts w:ascii="Times New Roman" w:hAnsi="Times New Roman" w:cs="Times New Roman" w:eastAsia="Times New Roman"/>
          <w:b w:val="0"/>
          <w:sz w:val="24"/>
        </w:rPr>
        <w:t>L'unità ventunesima reca la consulenza tecnico-merceologica sul pannello, disposta dalla Procura di Milano nel procedimento numero 16461/90 e presentata il sei dicembre millenovecentonovanta. L'unità ventiseiesima reca la relazione tecnica disposta dalla Procura di Roma nel procedimento numero 3349/90 C sul materiale rinvenuto, pervenuta il venticinque giugno millenovecentonovantuno. Sono due atti, formati da due uffici, in due procedimenti distinti, su due oggetti distinti: il primo sulla struttura muraria, il secondo sul materiale che vi era contenuto.</w:t>
      </w:r>
    </w:p>
    <w:p>
      <w:pPr>
        <w:spacing w:line="276" w:lineRule="auto" w:after="120"/>
        <w:ind w:firstLine="425"/>
        <w:jc w:val="both"/>
      </w:pPr>
      <w:r>
        <w:rPr>
          <w:rFonts w:ascii="Times New Roman" w:hAnsi="Times New Roman" w:cs="Times New Roman" w:eastAsia="Times New Roman"/>
          <w:b w:val="0"/>
          <w:sz w:val="24"/>
        </w:rPr>
        <w:t>La distinzione è quella fra il contenitore e il contenuto, e la sua rilevanza è la seguente. La chiusura della questione del vano non trovato riposa sul primo atto e non sul secondo, e il primo accerta una proprietà della struttura e non una proprietà delle carte. Nessuna inferenza sulla completezza del materiale rinvenuto discende da esso, e chi lo impiegasse a quel fine estenderebbe un accertamento oltre il proprio oggetto.</w:t>
      </w:r>
    </w:p>
    <w:p>
      <w:pPr>
        <w:spacing w:line="276" w:lineRule="auto" w:after="120"/>
        <w:ind w:firstLine="425"/>
        <w:jc w:val="both"/>
      </w:pPr>
      <w:r>
        <w:rPr>
          <w:rFonts w:ascii="Times New Roman" w:hAnsi="Times New Roman" w:cs="Times New Roman" w:eastAsia="Times New Roman"/>
          <w:b w:val="0"/>
          <w:sz w:val="24"/>
        </w:rPr>
        <w:t>L'unità quarantaquattresima chiude il procedimento romano con provvedimento di archiviazione del ventotto gennaio millenovecentonovantadue, adottato previa separazione degli atti relativi alle dichiarazioni di un collaboratore di giustizia. La separazione è il dato rilevante e va registrato: essa significa che una parte del materiale non fu archiviata con il resto ma proseguì altrove, e che esiste dunque un seguito procedurale distinto del quale il presente repertorio non individua gli estremi. Si dichiara Stato Zero su quel seguito, con sede determinata presso il medesimo ufficio.</w:t>
      </w:r>
    </w:p>
    <w:p>
      <w:pPr>
        <w:spacing w:line="276" w:lineRule="auto" w:after="120" w:before="240"/>
        <w:ind w:firstLine="0"/>
        <w:jc w:val="left"/>
      </w:pPr>
      <w:r>
        <w:rPr>
          <w:rFonts w:ascii="Times New Roman" w:hAnsi="Times New Roman" w:cs="Times New Roman" w:eastAsia="Times New Roman"/>
          <w:b/>
          <w:sz w:val="24"/>
        </w:rPr>
        <w:t>Parte sesta — La divergenza fra i due indici della medesima fonte</w:t>
      </w:r>
    </w:p>
    <w:p>
      <w:pPr>
        <w:spacing w:line="276" w:lineRule="auto" w:after="120"/>
        <w:ind w:firstLine="425"/>
        <w:jc w:val="both"/>
      </w:pPr>
      <w:r>
        <w:rPr>
          <w:rFonts w:ascii="Times New Roman" w:hAnsi="Times New Roman" w:cs="Times New Roman" w:eastAsia="Times New Roman"/>
          <w:b w:val="0"/>
          <w:sz w:val="24"/>
        </w:rPr>
        <w:t>Il documento impiegato reca due indici del medesimo fascicolo, e i due divergono su una unità. Si registra la divergenza perché essa è la migliore dimostrazione disponibile di una regola che l'appendice seconda ha enunciata in astratto.</w:t>
      </w:r>
    </w:p>
    <w:p>
      <w:pPr>
        <w:spacing w:line="276" w:lineRule="auto" w:after="120"/>
        <w:ind w:firstLine="425"/>
        <w:jc w:val="both"/>
      </w:pPr>
      <w:r>
        <w:rPr>
          <w:rFonts w:ascii="Times New Roman" w:hAnsi="Times New Roman" w:cs="Times New Roman" w:eastAsia="Times New Roman"/>
          <w:b w:val="0"/>
          <w:sz w:val="24"/>
        </w:rPr>
        <w:t>L'indice di acquisizione descrive l'unità tredicesima come l'ordinanza-sentenza emessa il diciotto agosto millenovecentonovanta dal giudice istruttore nel procedimento contro una persona determinata e altri. L'indice tematico, alla voce dedicata al quarto procedimento, descrive un'ordinanza-sentenza emessa il diciotto agosto millenovecentottantanove dal medesimo giudice istruttore nel procedimento contro una persona diversa e altri. Divergono l'anno e il nome del primo imputato.</w:t>
      </w:r>
    </w:p>
    <w:p>
      <w:pPr>
        <w:spacing w:line="276" w:lineRule="auto" w:after="120"/>
        <w:ind w:firstLine="425"/>
        <w:jc w:val="both"/>
      </w:pPr>
      <w:r>
        <w:rPr>
          <w:rFonts w:ascii="Times New Roman" w:hAnsi="Times New Roman" w:cs="Times New Roman" w:eastAsia="Times New Roman"/>
          <w:b w:val="0"/>
          <w:sz w:val="24"/>
        </w:rPr>
        <w:t>Almeno una delle due descrizioni è errata, e il presente atto non stabilisce quale. Ciò che esso stabilisce è la regola: un indice è una fonte, e come ogni fonte ha i propri errori. La risalita non si arresta all'indice. L'indice designa l'atto e non lo sostituisce, e il computo di una convergenza fondato su due indici della medesima serie non è un computo su due catene ma su una sola, la quale per giunta si contraddice al proprio interno.</w:t>
      </w:r>
    </w:p>
    <w:p>
      <w:pPr>
        <w:spacing w:line="276" w:lineRule="auto" w:after="120"/>
        <w:ind w:firstLine="425"/>
        <w:jc w:val="both"/>
      </w:pPr>
      <w:r>
        <w:rPr>
          <w:rFonts w:ascii="Times New Roman" w:hAnsi="Times New Roman" w:cs="Times New Roman" w:eastAsia="Times New Roman"/>
          <w:b w:val="0"/>
          <w:sz w:val="24"/>
        </w:rPr>
        <w:t>Si osservi che, se l'opera avesse recepito la designazione per atto arrestandosi all'indice, avrebbe iscritto una data errata in almeno un punto, e l'avrebbe iscritta con l'apparenza della precisione, che è la forma più durevole dell'errore. Una data sbagliata designata per classe si corregge senza danno; una data sbagliata designata per atto si propaga, perché chiunque la citi la citerà come verificata.</w:t>
      </w:r>
    </w:p>
    <w:p>
      <w:pPr>
        <w:spacing w:line="276" w:lineRule="auto" w:after="120" w:before="240"/>
        <w:ind w:firstLine="0"/>
        <w:jc w:val="left"/>
      </w:pPr>
      <w:r>
        <w:rPr>
          <w:rFonts w:ascii="Times New Roman" w:hAnsi="Times New Roman" w:cs="Times New Roman" w:eastAsia="Times New Roman"/>
          <w:b/>
          <w:sz w:val="24"/>
        </w:rPr>
        <w:t>Parte settima — Le mutazioni di stato</w:t>
      </w:r>
    </w:p>
    <w:p>
      <w:pPr>
        <w:spacing w:line="276" w:lineRule="auto" w:after="120"/>
        <w:ind w:firstLine="425"/>
        <w:jc w:val="both"/>
      </w:pPr>
      <w:r>
        <w:rPr>
          <w:rFonts w:ascii="Times New Roman" w:hAnsi="Times New Roman" w:cs="Times New Roman" w:eastAsia="Times New Roman"/>
          <w:b w:val="0"/>
          <w:sz w:val="24"/>
        </w:rPr>
        <w:t>Si registrano le mutazioni che il presente atto produce, separatamente da ogni valutazione.</w:t>
      </w:r>
    </w:p>
    <w:p>
      <w:pPr>
        <w:spacing w:line="276" w:lineRule="auto" w:after="120"/>
        <w:ind w:firstLine="425"/>
        <w:jc w:val="both"/>
      </w:pPr>
      <w:r>
        <w:rPr>
          <w:rFonts w:ascii="Times New Roman" w:hAnsi="Times New Roman" w:cs="Times New Roman" w:eastAsia="Times New Roman"/>
          <w:b w:val="0"/>
          <w:sz w:val="24"/>
        </w:rPr>
        <w:t>Lo Stato Zero sulle diciannove unità non individuate è chiuso. Le cinquanta unità del fascicolo sono individuate per ufficio emittente, oggetto e data, e quarantasette recano altresì la data di pervenimento.</w:t>
      </w:r>
    </w:p>
    <w:p>
      <w:pPr>
        <w:spacing w:line="276" w:lineRule="auto" w:after="120"/>
        <w:ind w:firstLine="425"/>
        <w:jc w:val="both"/>
      </w:pPr>
      <w:r>
        <w:rPr>
          <w:rFonts w:ascii="Times New Roman" w:hAnsi="Times New Roman" w:cs="Times New Roman" w:eastAsia="Times New Roman"/>
          <w:b w:val="0"/>
          <w:sz w:val="24"/>
        </w:rPr>
        <w:t>La Voce sesta muta classe e non si chiude, per la ragione detta alla Parte quarta.</w:t>
      </w:r>
    </w:p>
    <w:p>
      <w:pPr>
        <w:spacing w:line="276" w:lineRule="auto" w:after="120"/>
        <w:ind w:firstLine="425"/>
        <w:jc w:val="both"/>
      </w:pPr>
      <w:r>
        <w:rPr>
          <w:rFonts w:ascii="Times New Roman" w:hAnsi="Times New Roman" w:cs="Times New Roman" w:eastAsia="Times New Roman"/>
          <w:b w:val="0"/>
          <w:sz w:val="24"/>
        </w:rPr>
        <w:t>La Voce prima riceve conferma indipendente. L'indice descrive l'unità trentaseiesima terza nei medesimi termini del processo verbale della novantottesima seduta, e i due riscontri, benché provenienti dalla medesima serie, sono redatti in tempi e per funzioni diverse. Si dichiara che ciò non costituisce convergenza di due catene, per la regola enunciata alla Parte sesta.</w:t>
      </w:r>
    </w:p>
    <w:p>
      <w:pPr>
        <w:spacing w:line="276" w:lineRule="auto" w:after="120"/>
        <w:ind w:firstLine="425"/>
        <w:jc w:val="both"/>
      </w:pPr>
      <w:r>
        <w:rPr>
          <w:rFonts w:ascii="Times New Roman" w:hAnsi="Times New Roman" w:cs="Times New Roman" w:eastAsia="Times New Roman"/>
          <w:b w:val="0"/>
          <w:sz w:val="24"/>
        </w:rPr>
        <w:t>La Voce ventesima progredisce da ventinove a cinquanta fonti designate per atto.</w:t>
      </w:r>
    </w:p>
    <w:p>
      <w:pPr>
        <w:spacing w:line="276" w:lineRule="auto" w:after="120"/>
        <w:ind w:firstLine="425"/>
        <w:jc w:val="both"/>
      </w:pPr>
      <w:r>
        <w:rPr>
          <w:rFonts w:ascii="Times New Roman" w:hAnsi="Times New Roman" w:cs="Times New Roman" w:eastAsia="Times New Roman"/>
          <w:b w:val="0"/>
          <w:sz w:val="24"/>
        </w:rPr>
        <w:t>Si iscrive la Voce ventiquattresima, di cui alla Parte quarta.</w:t>
      </w:r>
    </w:p>
    <w:p>
      <w:pPr>
        <w:spacing w:line="276" w:lineRule="auto" w:after="120"/>
        <w:ind w:firstLine="425"/>
        <w:jc w:val="both"/>
      </w:pPr>
      <w:r>
        <w:rPr>
          <w:rFonts w:ascii="Times New Roman" w:hAnsi="Times New Roman" w:cs="Times New Roman" w:eastAsia="Times New Roman"/>
          <w:b w:val="0"/>
          <w:sz w:val="24"/>
        </w:rPr>
        <w:t>Non muta alcun grado di alcuna proposizione dell'opera. Il presente atto designa e non legge, come il precedente, e la sua utilità si misura sulle domande che consente e non sulle affermazioni che produce.</w:t>
      </w:r>
    </w:p>
    <w:p>
      <w:pPr>
        <w:spacing w:line="276" w:lineRule="auto" w:after="120" w:before="240"/>
        <w:ind w:firstLine="0"/>
        <w:jc w:val="left"/>
      </w:pPr>
      <w:r>
        <w:rPr>
          <w:rFonts w:ascii="Times New Roman" w:hAnsi="Times New Roman" w:cs="Times New Roman" w:eastAsia="Times New Roman"/>
          <w:b/>
          <w:sz w:val="24"/>
        </w:rPr>
        <w:t>Parte ottava — Stati Zero residui</w:t>
      </w:r>
    </w:p>
    <w:p>
      <w:pPr>
        <w:spacing w:line="276" w:lineRule="auto" w:after="120"/>
        <w:ind w:firstLine="425"/>
        <w:jc w:val="both"/>
      </w:pPr>
      <w:r>
        <w:rPr>
          <w:rFonts w:ascii="Times New Roman" w:hAnsi="Times New Roman" w:cs="Times New Roman" w:eastAsia="Times New Roman"/>
          <w:b w:val="0"/>
          <w:sz w:val="24"/>
        </w:rPr>
        <w:t>Primo. Il contenuto di nessuna delle cinquanta unità è stato esaminato. Le due appendici hanno costruito un indice di reperimento e null'altro.</w:t>
      </w:r>
    </w:p>
    <w:p>
      <w:pPr>
        <w:spacing w:line="276" w:lineRule="auto" w:after="120"/>
        <w:ind w:firstLine="425"/>
        <w:jc w:val="both"/>
      </w:pPr>
      <w:r>
        <w:rPr>
          <w:rFonts w:ascii="Times New Roman" w:hAnsi="Times New Roman" w:cs="Times New Roman" w:eastAsia="Times New Roman"/>
          <w:b w:val="0"/>
          <w:sz w:val="24"/>
        </w:rPr>
        <w:t>Secondo. Il seguito procedurale degli atti separati dal provvedimento di archiviazione del ventotto gennaio millenovecentonovantadue non è individuato. Sede determinata; si tratta di reperimento.</w:t>
      </w:r>
    </w:p>
    <w:p>
      <w:pPr>
        <w:spacing w:line="276" w:lineRule="auto" w:after="120"/>
        <w:ind w:firstLine="425"/>
        <w:jc w:val="both"/>
      </w:pPr>
      <w:r>
        <w:rPr>
          <w:rFonts w:ascii="Times New Roman" w:hAnsi="Times New Roman" w:cs="Times New Roman" w:eastAsia="Times New Roman"/>
          <w:b w:val="0"/>
          <w:sz w:val="24"/>
        </w:rPr>
        <w:t>Terzo. La divergenza fra i due indici sull'unità tredicesima non è risolta, e la sua risoluzione richiede l'atto e non un terzo indice.</w:t>
      </w:r>
    </w:p>
    <w:p>
      <w:pPr>
        <w:spacing w:line="276" w:lineRule="auto" w:after="120"/>
        <w:ind w:firstLine="425"/>
        <w:jc w:val="both"/>
      </w:pPr>
      <w:r>
        <w:rPr>
          <w:rFonts w:ascii="Times New Roman" w:hAnsi="Times New Roman" w:cs="Times New Roman" w:eastAsia="Times New Roman"/>
          <w:b w:val="0"/>
          <w:sz w:val="24"/>
        </w:rPr>
        <w:t>Quarto. Ventisette processi verbali su centodue restano non posseduti. L'indice generale non li surroga: esso reca ciò che fu acquisito e non ciò che fu detto nelle sedute, che è materia diversa e non ricavabile dalla prima.</w:t>
      </w:r>
    </w:p>
    <w:p>
      <w:pPr>
        <w:spacing w:line="276" w:lineRule="auto" w:after="120"/>
        <w:ind w:firstLine="425"/>
        <w:jc w:val="both"/>
      </w:pPr>
      <w:r>
        <w:rPr>
          <w:rFonts w:ascii="Times New Roman" w:hAnsi="Times New Roman" w:cs="Times New Roman" w:eastAsia="Times New Roman"/>
          <w:b w:val="0"/>
          <w:sz w:val="24"/>
        </w:rPr>
        <w:t>Quinto. Il regime di riservatezza attuale non è verificato per alcuna unità. Quattordici unità recano indicazione di fase istruttoria riservata o di riservatezza semplice alla data dell'acquisizione, e una reca l'indicazione di non divulgabilità con la contestuale esistenza di una versione divulgabile.</w:t>
      </w:r>
    </w:p>
    <w:p>
      <w:pPr>
        <w:spacing w:line="276" w:lineRule="auto" w:after="120" w:before="240"/>
        <w:ind w:firstLine="0"/>
        <w:jc w:val="left"/>
      </w:pPr>
      <w:r>
        <w:rPr>
          <w:rFonts w:ascii="Times New Roman" w:hAnsi="Times New Roman" w:cs="Times New Roman" w:eastAsia="Times New Roman"/>
          <w:b/>
          <w:sz w:val="24"/>
        </w:rPr>
        <w:t>Riga di giornale</w:t>
      </w:r>
    </w:p>
    <w:p>
      <w:pPr>
        <w:spacing w:line="276" w:lineRule="auto" w:after="120"/>
        <w:ind w:firstLine="425"/>
        <w:jc w:val="both"/>
      </w:pPr>
      <w:r>
        <w:rPr>
          <w:rFonts w:ascii="Times New Roman" w:hAnsi="Times New Roman" w:cs="Times New Roman" w:eastAsia="Times New Roman"/>
          <w:b w:val="0"/>
          <w:sz w:val="24"/>
        </w:rPr>
        <w:t>Riga del quindici agosto duemilaventisei, seconda del giorno sul medesimo cantiere. Cantiere: designazione per atto delle fonti. Materia: chiusura dello Stato Zero sulle unità non individuate del fascicolo tematico, mediante l'indice generale delle acquisizioni della X legislatura.</w:t>
      </w:r>
    </w:p>
    <w:p>
      <w:pPr>
        <w:spacing w:line="276" w:lineRule="auto" w:after="120"/>
        <w:ind w:firstLine="425"/>
        <w:jc w:val="both"/>
      </w:pPr>
      <w:r>
        <w:rPr>
          <w:rFonts w:ascii="Times New Roman" w:hAnsi="Times New Roman" w:cs="Times New Roman" w:eastAsia="Times New Roman"/>
          <w:b w:val="0"/>
          <w:sz w:val="24"/>
        </w:rPr>
        <w:t>Esito positivo: cinquanta unità individuate, con chiusura integrale della lacuna dichiarata poche ore prima; risoluzione dichiarata e falsificabile della numerazione dell'indice, verificata su sette ancoraggi indipendenti; individuazione della numerazione definitiva attribuita nel millenovecentonovanta e sua comparazione con l'omissione di numerazione del millenovecentosettantotto, con dichiarazione espressa di ciò che la comparazione non stabilisce; individuazione dell'espunzione dichiarata e datata e sua distinzione dalla sottrazione occulta; individuazione di tre atti giudiziari sul procedimento relativo all'autore del documento apocrifo, con mutamento di classe della Voce sesta e iscrizione della Voce ventiquattresima; distinzione fra i due accertamenti tecnici del millenovecentonovanta e dei due procedimenti che li disposero; individuazione di una segnatura parlamentare completa verso il corpus maggiore.</w:t>
      </w:r>
    </w:p>
    <w:p>
      <w:pPr>
        <w:spacing w:line="276" w:lineRule="auto" w:after="120"/>
        <w:ind w:firstLine="425"/>
        <w:jc w:val="both"/>
      </w:pPr>
      <w:r>
        <w:rPr>
          <w:rFonts w:ascii="Times New Roman" w:hAnsi="Times New Roman" w:cs="Times New Roman" w:eastAsia="Times New Roman"/>
          <w:b w:val="0"/>
          <w:sz w:val="24"/>
        </w:rPr>
        <w:t>Esito negativo: il contenuto di nessuna unità è esaminato; il seguito degli atti separati nel millenovecentonovantadue non è individuato; ventisette processi verbali restano non posseduti; il regime di riservatezza attuale non è verificato.</w:t>
      </w:r>
    </w:p>
    <w:p>
      <w:pPr>
        <w:spacing w:line="276" w:lineRule="auto" w:after="120"/>
        <w:ind w:firstLine="425"/>
        <w:jc w:val="both"/>
      </w:pPr>
      <w:r>
        <w:rPr>
          <w:rFonts w:ascii="Times New Roman" w:hAnsi="Times New Roman" w:cs="Times New Roman" w:eastAsia="Times New Roman"/>
          <w:b w:val="0"/>
          <w:sz w:val="24"/>
        </w:rPr>
        <w:t>Riga di errore proprio. Si registra il secondo errore della medesima specie nella medesima giornata: uno Stato Zero dichiarato senza avere esaurito il posseduto, poche ore dopo che la regola contraria era stata enunciata a proprio sfavore. Se ne trae il corollario che una regola tratta dal proprio errore non protegge chi l'ha tratta finché non sia stata applicata almeno una volta, e che il momento di massima esposizione alla ripetizione è quello immediatamente successivo alla sua formulazione.</w:t>
      </w:r>
    </w:p>
    <w:p>
      <w:pPr>
        <w:spacing w:line="276" w:lineRule="auto" w:after="120"/>
        <w:ind w:firstLine="425"/>
        <w:jc w:val="both"/>
      </w:pPr>
      <w:r>
        <w:rPr>
          <w:rFonts w:ascii="Times New Roman" w:hAnsi="Times New Roman" w:cs="Times New Roman" w:eastAsia="Times New Roman"/>
          <w:b w:val="0"/>
          <w:sz w:val="24"/>
        </w:rPr>
        <w:t>Riga di errore proprio, seconda. Si registra altresì una imprecisione dell'appendice terza, corretta dal presente atto: essa descriveva l'unità quattordicesima come copia integrale della documentazione, tacendo che il fascicolo comprende tre elementi distinti e che uno di essi reca la numerazione attribuita dagli uffici della Commissione. La descrizione anteriore non era falsa ed era incompleta, e l'elemento taciuto è quello dal quale discende la Parte terza del presente atto. Un'omissione di dettaglio in un repertorio di reperimento non è un errore veniale: è la differenza fra una voce che si domanda e una voce che non si sa di dovere domandare.</w:t>
      </w:r>
    </w:p>
    <w:p>
      <w:pPr>
        <w:spacing w:line="276" w:lineRule="auto" w:after="120"/>
        <w:ind w:firstLine="425"/>
        <w:jc w:val="both"/>
      </w:pPr>
      <w:r>
        <w:rPr>
          <w:rFonts w:ascii="Times New Roman" w:hAnsi="Times New Roman" w:cs="Times New Roman" w:eastAsia="Times New Roman"/>
          <w:b w:val="0"/>
          <w:sz w:val="24"/>
        </w:rPr>
        <w:t>Riga di avvertenza. Le persone nominate nelle fonti qui designate lo sono in quanto i loro nomi appartengono agli estremi degli atti. Nessuna attribuzione discende dalla nominazione, e in particolare nessuna discende dalla circostanza che un atto giudiziario riguardi una persona: un procedimento è un accertamento in corso o concluso, e il presente repertorio non ne riporta l'esito ove non lo dichiari espressamente.</w:t>
      </w:r>
    </w:p>
    <w:p>
      <w:pPr>
        <w:spacing w:line="276" w:lineRule="auto" w:after="120" w:before="240"/>
        <w:ind w:firstLine="0"/>
        <w:jc w:val="left"/>
      </w:pPr>
      <w:r>
        <w:rPr>
          <w:rFonts w:ascii="Times New Roman" w:hAnsi="Times New Roman" w:cs="Times New Roman" w:eastAsia="Times New Roman"/>
          <w:b/>
          <w:sz w:val="24"/>
        </w:rPr>
        <w:t>Colophon</w:t>
      </w:r>
    </w:p>
    <w:p>
      <w:pPr>
        <w:spacing w:line="276" w:lineRule="auto" w:after="120"/>
        <w:ind w:firstLine="425"/>
        <w:jc w:val="both"/>
      </w:pPr>
      <w:r>
        <w:rPr>
          <w:rFonts w:ascii="Times New Roman" w:hAnsi="Times New Roman" w:cs="Times New Roman" w:eastAsia="Times New Roman"/>
          <w:b w:val="0"/>
          <w:sz w:val="24"/>
        </w:rPr>
        <w:t>APPENDICE QUARTA ALLA FASE SETTIMA, chiusura dello Stato Zero sul fascicolo tematico mediante l'indice generale delle acquisizioni, quindici agosto duemilaventisei. I settanta Capitoli restano settanta. Le redazioni anteriori non sono modificate: le pietre deposte non si scalpellano. Resta sovrana la Regola di Ferro: dove la fonte documenta, l'opera certifica; dove la fonte tace, l'opera indaga e non afferma. Un indice designa l'atto e non lo sostituisce, e due indici della medesima serie non sono due catene. Autore e direttore dell'opera: Luigi De Michele.</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