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QUINTA ALLA FASE SETTIMA</w:t>
      </w:r>
    </w:p>
    <w:p>
      <w:pPr>
        <w:spacing w:line="276" w:lineRule="auto" w:after="120"/>
        <w:ind w:firstLine="0"/>
        <w:jc w:val="center"/>
      </w:pPr>
      <w:r>
        <w:rPr>
          <w:rFonts w:ascii="Times New Roman" w:hAnsi="Times New Roman" w:cs="Times New Roman" w:eastAsia="Times New Roman"/>
          <w:b/>
          <w:sz w:val="24"/>
        </w:rPr>
        <w:t>La catalogazione multipla e la divergenza dei rinvii</w:t>
      </w:r>
    </w:p>
    <w:p>
      <w:pPr>
        <w:spacing w:line="276" w:lineRule="auto" w:after="120"/>
        <w:ind w:firstLine="0"/>
        <w:jc w:val="center"/>
      </w:pPr>
      <w:r>
        <w:rPr>
          <w:rFonts w:ascii="Times New Roman" w:hAnsi="Times New Roman" w:cs="Times New Roman" w:eastAsia="Times New Roman"/>
          <w:b/>
          <w:sz w:val="24"/>
        </w:rPr>
        <w:t>Il collasso genealogico misurato su materiale documentato</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quinta</w:t>
      </w:r>
    </w:p>
    <w:p>
      <w:pPr>
        <w:spacing w:line="276" w:lineRule="auto" w:after="120"/>
        <w:ind w:firstLine="425"/>
        <w:jc w:val="both"/>
      </w:pPr>
      <w:r>
        <w:rPr>
          <w:rFonts w:ascii="Times New Roman" w:hAnsi="Times New Roman" w:cs="Times New Roman" w:eastAsia="Times New Roman"/>
          <w:b w:val="0"/>
          <w:sz w:val="24"/>
        </w:rPr>
        <w:t>La presente è appendice quinta alla Fase Settima e opera sulle tre unità d'indice restanti della medesima serie parlamentare: quella dedicata alla struttura clandestina di difesa, stampata a partire dalla pagina settecentottantacinque; quella dedicata al disastro aereo, a partire dalla pagina ottocentocinquantuno; e quella dedicata ai procedimenti giudiziari su fatti di strage, a partire dalla pagina novecentoquindici. Come le quattro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Il suo oggetto non è il caso in senso stretto. È una proprietà del sistema di catalogazione entro il quale gli atti del caso sono conservati, e la ragione per la quale essa appartiene all'opera va detta subito. La verifica genealogica, dall'appendice seconda in poi, ha asserito che l'acquisizione non genera catena e che due esposizioni della medesima fonte non sono due fonti. Fino a oggi quella asserzione era una regola dedotta. Le tre unità qui impiegate la rendono, per la prima volta, una regolarità misurata su materiale documentato, poiché esse recano il caso nel quale il medesimo atto compare sotto più chiavi di catalogo, ciascuna delle quali ha l'apparenza di una fonte distinta.</w:t>
      </w:r>
    </w:p>
    <w:p>
      <w:pPr>
        <w:spacing w:line="276" w:lineRule="auto" w:after="120" w:before="240"/>
        <w:ind w:firstLine="0"/>
        <w:jc w:val="left"/>
      </w:pPr>
      <w:r>
        <w:rPr>
          <w:rFonts w:ascii="Times New Roman" w:hAnsi="Times New Roman" w:cs="Times New Roman" w:eastAsia="Times New Roman"/>
          <w:b/>
          <w:sz w:val="24"/>
        </w:rPr>
        <w:t>Parte prima — Le tre unità e la loro natura</w:t>
      </w:r>
    </w:p>
    <w:p>
      <w:pPr>
        <w:spacing w:line="276" w:lineRule="auto" w:after="120"/>
        <w:ind w:firstLine="425"/>
        <w:jc w:val="both"/>
      </w:pPr>
      <w:r>
        <w:rPr>
          <w:rFonts w:ascii="Times New Roman" w:hAnsi="Times New Roman" w:cs="Times New Roman" w:eastAsia="Times New Roman"/>
          <w:b w:val="0"/>
          <w:sz w:val="24"/>
        </w:rPr>
        <w:t>L'unità dedicata alla struttura clandestina consta di novecentonovantasette voci e di circa quattordicimila parole; quella dedicata al disastro aereo di millecentotrentasette voci e di circa diciassettemilacinquecento parole. Entrambe sono indici di acquisizione della medesima specie di quello già impiegato, e recano la medesima struttura: ufficio emittente, oggetto, data di pervenimento, regime, chiave, rinvii.</w:t>
      </w:r>
    </w:p>
    <w:p>
      <w:pPr>
        <w:spacing w:line="276" w:lineRule="auto" w:after="120"/>
        <w:ind w:firstLine="425"/>
        <w:jc w:val="both"/>
      </w:pPr>
      <w:r>
        <w:rPr>
          <w:rFonts w:ascii="Times New Roman" w:hAnsi="Times New Roman" w:cs="Times New Roman" w:eastAsia="Times New Roman"/>
          <w:b w:val="0"/>
          <w:sz w:val="24"/>
        </w:rPr>
        <w:t>L'unità dedicata ai procedimenti di strage è di tutt'altra natura e di gran lunga la più breve, constando di ventuno voci. Essa non elenca documenti ma procedimenti, e dichiara che gli atti processuali di ciascuno sono stati selezionati dalla Commissione e immessi in una autonoma banca dati accessibile secondo il criterio della ricerca testuale. Essa dichiara altresì che i rinvii riguardano documenti non soggetti a pubblicazione, versati all'archivio storico del Senato, e che i procedimenti sono identificati per il nome convenzionalmente usato presso gli uffici giudiziari.</w:t>
      </w:r>
    </w:p>
    <w:p>
      <w:pPr>
        <w:spacing w:line="276" w:lineRule="auto" w:after="120"/>
        <w:ind w:firstLine="425"/>
        <w:jc w:val="both"/>
      </w:pPr>
      <w:r>
        <w:rPr>
          <w:rFonts w:ascii="Times New Roman" w:hAnsi="Times New Roman" w:cs="Times New Roman" w:eastAsia="Times New Roman"/>
          <w:b w:val="0"/>
          <w:sz w:val="24"/>
        </w:rPr>
        <w:t>Questa terza unità, benché la più esigua, è la più rilevante ai fini della tavola, e la ragione è che essa nomina una sede. Le voci della tavola che domandano atti processuali indicano fino a oggi come sede gli uffici giudiziari competenti, il che è esatto e generico. La presente unità stabilisce che una selezione di atti processuali esiste in forma testualmente interrogabile presso un organo parlamentare, e che i documenti non pubblicabili sono stati versati a un archivio storico determinato. Ne segue che per una parte delle voci esiste una seconda via di reperimento, più breve della prima e non alternativa ad essa.</w:t>
      </w:r>
    </w:p>
    <w:p>
      <w:pPr>
        <w:spacing w:line="276" w:lineRule="auto" w:after="120" w:before="240"/>
        <w:ind w:firstLine="0"/>
        <w:jc w:val="left"/>
      </w:pPr>
      <w:r>
        <w:rPr>
          <w:rFonts w:ascii="Times New Roman" w:hAnsi="Times New Roman" w:cs="Times New Roman" w:eastAsia="Times New Roman"/>
          <w:b/>
          <w:sz w:val="24"/>
        </w:rPr>
        <w:t>Parte seconda — La catalogazione multipla, misurata</w:t>
      </w:r>
    </w:p>
    <w:p>
      <w:pPr>
        <w:spacing w:line="276" w:lineRule="auto" w:after="120"/>
        <w:ind w:firstLine="425"/>
        <w:jc w:val="both"/>
      </w:pPr>
      <w:r>
        <w:rPr>
          <w:rFonts w:ascii="Times New Roman" w:hAnsi="Times New Roman" w:cs="Times New Roman" w:eastAsia="Times New Roman"/>
          <w:b w:val="0"/>
          <w:sz w:val="24"/>
        </w:rPr>
        <w:t>Si espone la misura secondo la disciplina che la campagna ha imposta: dichiarata come tetto o come soglia, con la procedura, e ristretta prima che se ne traggano conseguenze.</w:t>
      </w:r>
    </w:p>
    <w:p>
      <w:pPr>
        <w:spacing w:line="276" w:lineRule="auto" w:after="120"/>
        <w:ind w:firstLine="425"/>
        <w:jc w:val="both"/>
      </w:pPr>
      <w:r>
        <w:rPr>
          <w:rFonts w:ascii="Times New Roman" w:hAnsi="Times New Roman" w:cs="Times New Roman" w:eastAsia="Times New Roman"/>
          <w:b w:val="0"/>
          <w:sz w:val="24"/>
        </w:rPr>
        <w:t>Nell'indice di acquisizione del fascicolo dedicato al caso, computato al netto dell'indice tematico che lo segue, quattordici unità su cinquanta recano un rinvio a un altro fascicolo. Le chiavi di destinazione sono diciotto esterne al fascicolo e una interna. I fascicoli di destinazione sono sette, e sono quelli dedicati al terrorismo di sinistra, alla loggia coperta, alla struttura clandestina di difesa, a una struttura informativa parallela, alla criminalità organizzata connessa al traffico di stupefacenti e al terrorismo, alla banca dati e alle materie varie.</w:t>
      </w:r>
    </w:p>
    <w:p>
      <w:pPr>
        <w:spacing w:line="276" w:lineRule="auto" w:after="120"/>
        <w:ind w:firstLine="425"/>
        <w:jc w:val="both"/>
      </w:pPr>
      <w:r>
        <w:rPr>
          <w:rFonts w:ascii="Times New Roman" w:hAnsi="Times New Roman" w:cs="Times New Roman" w:eastAsia="Times New Roman"/>
          <w:b w:val="0"/>
          <w:sz w:val="24"/>
        </w:rPr>
        <w:t>Complessivamente, sulle tre unità d'indice qui impiegate, si contano sessanta rinvii dichiarati.</w:t>
      </w:r>
    </w:p>
    <w:p>
      <w:pPr>
        <w:spacing w:line="276" w:lineRule="auto" w:after="120"/>
        <w:ind w:firstLine="425"/>
        <w:jc w:val="both"/>
      </w:pPr>
      <w:r>
        <w:rPr>
          <w:rFonts w:ascii="Times New Roman" w:hAnsi="Times New Roman" w:cs="Times New Roman" w:eastAsia="Times New Roman"/>
          <w:b w:val="0"/>
          <w:sz w:val="24"/>
        </w:rPr>
        <w:t>Questa misura non è un tetto. È una soglia, ed è la prima misura delle appendici che vada dichiarata in questo verso anziché nell'altro. La ragione è di procedura di compilazione: un rinvio compare dove il compilatore lo ha notato e apposto, e non esiste alcuna garanzia che ogni catalogazione multipla sia stata dichiarata in tutti i fascicoli che la riguardano. La reciprocità dei rinvii non è verificata, e la Parte terza mostrerà che dove è verificabile non sempre regge. Ne segue che il numero reale delle unità catalogate sotto più chiavi è pari o superiore a quattordici su cinquanta, e che quel rapporto va impiegato come limite inferiore.</w:t>
      </w:r>
    </w:p>
    <w:p>
      <w:pPr>
        <w:spacing w:line="276" w:lineRule="auto" w:after="120"/>
        <w:ind w:firstLine="425"/>
        <w:jc w:val="both"/>
      </w:pPr>
      <w:r>
        <w:rPr>
          <w:rFonts w:ascii="Times New Roman" w:hAnsi="Times New Roman" w:cs="Times New Roman" w:eastAsia="Times New Roman"/>
          <w:b w:val="0"/>
          <w:sz w:val="24"/>
        </w:rPr>
        <w:t>Il caso estremo censito non appartiene al fascicolo del caso ma va riportato perché fissa l'ordine di grandezza del fenomeno. La documentazione trasmessa dal Presidente del Consiglio in carica in risposta ai quesiti postigli nel corso dell'audizione del tre agosto millenovecentonovanta compare, nel processo verbale che la registra, sotto cinque chiavi appartenenti a cinque fascicoli distinti: quello del disastro aereo, quello della loggia coperta, quello di una strage del millenovecentosettantadue, quello dei legami internazionali del terrorismo e quello di una struttura informativa parallela.</w:t>
      </w:r>
    </w:p>
    <w:p>
      <w:pPr>
        <w:spacing w:line="276" w:lineRule="auto" w:after="120"/>
        <w:ind w:firstLine="425"/>
        <w:jc w:val="both"/>
      </w:pPr>
      <w:r>
        <w:rPr>
          <w:rFonts w:ascii="Times New Roman" w:hAnsi="Times New Roman" w:cs="Times New Roman" w:eastAsia="Times New Roman"/>
          <w:b w:val="0"/>
          <w:sz w:val="24"/>
        </w:rPr>
        <w:t>Un atto, cinque indirizzi. Chi ne citasse tre credendo di citarne tre ne citerebbe uno. È il collasso genealogico nella sua forma più semplice e più difficile da vedere, perché nulla nelle tre citazioni rivela che si tratti del medesimo foglio: differiscono la chiave, il fascicolo, e il contesto tematico entro il quale l'atto è collocato.</w:t>
      </w:r>
    </w:p>
    <w:p>
      <w:pPr>
        <w:spacing w:line="276" w:lineRule="auto" w:after="120"/>
        <w:ind w:firstLine="425"/>
        <w:jc w:val="both"/>
      </w:pPr>
      <w:r>
        <w:rPr>
          <w:rFonts w:ascii="Times New Roman" w:hAnsi="Times New Roman" w:cs="Times New Roman" w:eastAsia="Times New Roman"/>
          <w:b w:val="0"/>
          <w:sz w:val="24"/>
        </w:rPr>
        <w:t>Si enuncia la regola che ne discende, e si aggiunge alle sei della Parte settima dell'appendice seconda.</w:t>
      </w:r>
    </w:p>
    <w:p>
      <w:pPr>
        <w:spacing w:line="276" w:lineRule="auto" w:after="120"/>
        <w:ind w:firstLine="425"/>
        <w:jc w:val="both"/>
      </w:pPr>
      <w:r>
        <w:rPr>
          <w:rFonts w:ascii="Times New Roman" w:hAnsi="Times New Roman" w:cs="Times New Roman" w:eastAsia="Times New Roman"/>
          <w:b w:val="0"/>
          <w:sz w:val="24"/>
        </w:rPr>
        <w:t>Settima regola della risalita. La chiave di catalogo non è l'atto: è un indirizzo dell'atto. Un atto possiede tanti indirizzi quanti sono i fascicoli che lo riguardano, e la molteplicità degli indirizzi non moltiplica le catene. Prima di computare come distinte due fonti recate da chiavi diverse, si verifichi che non siano il medesimo documento con due recapiti.</w:t>
      </w:r>
    </w:p>
    <w:p>
      <w:pPr>
        <w:spacing w:line="276" w:lineRule="auto" w:after="120" w:before="240"/>
        <w:ind w:firstLine="0"/>
        <w:jc w:val="left"/>
      </w:pPr>
      <w:r>
        <w:rPr>
          <w:rFonts w:ascii="Times New Roman" w:hAnsi="Times New Roman" w:cs="Times New Roman" w:eastAsia="Times New Roman"/>
          <w:b/>
          <w:sz w:val="24"/>
        </w:rPr>
        <w:t>Parte terza — Le tre divergenze accertate</w:t>
      </w:r>
    </w:p>
    <w:p>
      <w:pPr>
        <w:spacing w:line="276" w:lineRule="auto" w:after="120"/>
        <w:ind w:firstLine="425"/>
        <w:jc w:val="both"/>
      </w:pPr>
      <w:r>
        <w:rPr>
          <w:rFonts w:ascii="Times New Roman" w:hAnsi="Times New Roman" w:cs="Times New Roman" w:eastAsia="Times New Roman"/>
          <w:b w:val="0"/>
          <w:sz w:val="24"/>
        </w:rPr>
        <w:t>La verifica incrociata fra le unità d'indice ha prodotto tre divergenze, ciascuna delle quali riguarda la designazione di un atto e nessuna il suo contenuto. Si riportano tutte e tre, compresa quella che corregge un'affermazione dell'appendice quarta.</w:t>
      </w:r>
    </w:p>
    <w:p>
      <w:pPr>
        <w:spacing w:line="276" w:lineRule="auto" w:after="120"/>
        <w:ind w:firstLine="425"/>
        <w:jc w:val="both"/>
      </w:pPr>
      <w:r>
        <w:rPr>
          <w:rFonts w:ascii="Times New Roman" w:hAnsi="Times New Roman" w:cs="Times New Roman" w:eastAsia="Times New Roman"/>
          <w:b w:val="0"/>
          <w:sz w:val="24"/>
        </w:rPr>
        <w:t>Prima divergenza, già registrata. L'indice di acquisizione e l'indice tematico del medesimo fascicolo descrivono l'unità tredicesima con due anni diversi e due nomi diversi del primo imputato. Resta non risolta e la sua risoluzione richiede l'atto.</w:t>
      </w:r>
    </w:p>
    <w:p>
      <w:pPr>
        <w:spacing w:line="276" w:lineRule="auto" w:after="120"/>
        <w:ind w:firstLine="425"/>
        <w:jc w:val="both"/>
      </w:pPr>
      <w:r>
        <w:rPr>
          <w:rFonts w:ascii="Times New Roman" w:hAnsi="Times New Roman" w:cs="Times New Roman" w:eastAsia="Times New Roman"/>
          <w:b w:val="0"/>
          <w:sz w:val="24"/>
        </w:rPr>
        <w:t>Seconda divergenza, sulla chiave di destinazione. L'indice del fascicolo del caso, alla ventiduesima unità, rinvia a una chiave del fascicolo dedicato alla struttura clandestina indicandola con il numero quarantaquattro barra due. L'indice di quel medesimo fascicolo reca il medesimo atto — una relazione su un autore di un testo tecnico sulle tecniche di sabotaggio, pervenuta l'otto maggio millenovecentonovantuno — sotto il numero quindici barra due, e vi appone il rinvio reciproco al fascicolo del caso. Il processo verbale della ottantesima seduta, che è la fonte anteriore a entrambi gli indici, designa la chiave con la denominazione estesa del fascicolo, che comprende una struttura informativa parallela accanto alla struttura clandestina.</w:t>
      </w:r>
    </w:p>
    <w:p>
      <w:pPr>
        <w:spacing w:line="276" w:lineRule="auto" w:after="120"/>
        <w:ind w:firstLine="425"/>
        <w:jc w:val="both"/>
      </w:pPr>
      <w:r>
        <w:rPr>
          <w:rFonts w:ascii="Times New Roman" w:hAnsi="Times New Roman" w:cs="Times New Roman" w:eastAsia="Times New Roman"/>
          <w:b w:val="0"/>
          <w:sz w:val="24"/>
        </w:rPr>
        <w:t>La spiegazione più probabile è dunque che esistano due fascicoli distinti, e che il rinvio del primo indice abbia abbreviato la denominazione estesa del fascicolo di destinazione in modo tale da produrre una chiave che collide con quella di un fascicolo diverso. Si dichiara che questa è una ricostruzione dell'opera e non un dato del documento.</w:t>
      </w:r>
    </w:p>
    <w:p>
      <w:pPr>
        <w:spacing w:line="276" w:lineRule="auto" w:after="120"/>
        <w:ind w:firstLine="425"/>
        <w:jc w:val="both"/>
      </w:pPr>
      <w:r>
        <w:rPr>
          <w:rFonts w:ascii="Times New Roman" w:hAnsi="Times New Roman" w:cs="Times New Roman" w:eastAsia="Times New Roman"/>
          <w:b w:val="0"/>
          <w:sz w:val="24"/>
        </w:rPr>
        <w:t>Se ne trae la regola ottava. Un rinvio che abbrevi la denominazione del fascicolo di destinazione può produrre una chiave collidente. I rinvii si verificano sul fascicolo di destinazione e non su quello di partenza, poiché il fascicolo di partenza dichiara dove ha creduto di mandare e il fascicolo di destinazione dichiara che cosa possiede.</w:t>
      </w:r>
    </w:p>
    <w:p>
      <w:pPr>
        <w:spacing w:line="276" w:lineRule="auto" w:after="120"/>
        <w:ind w:firstLine="425"/>
        <w:jc w:val="both"/>
      </w:pPr>
      <w:r>
        <w:rPr>
          <w:rFonts w:ascii="Times New Roman" w:hAnsi="Times New Roman" w:cs="Times New Roman" w:eastAsia="Times New Roman"/>
          <w:b w:val="0"/>
          <w:sz w:val="24"/>
        </w:rPr>
        <w:t>Terza divergenza, e correzione a proprio sfavore. L'appendice quarta ha designato l'unità ventisettesima come recante, fra l'altro, la traduzione di un documento straniero sulle operazioni di stabilizzazione, pubblicato in lingua originale negli atti parlamentari a un volume, un documento e un numero determinati, e ha qualificato quella designazione come l'unica del fascicolo a recare una segnatura parlamentare completa, e pertanto come il rinvio più preciso verso il corpus maggiore.</w:t>
      </w:r>
    </w:p>
    <w:p>
      <w:pPr>
        <w:spacing w:line="276" w:lineRule="auto" w:after="120"/>
        <w:ind w:firstLine="425"/>
        <w:jc w:val="both"/>
      </w:pPr>
      <w:r>
        <w:rPr>
          <w:rFonts w:ascii="Times New Roman" w:hAnsi="Times New Roman" w:cs="Times New Roman" w:eastAsia="Times New Roman"/>
          <w:b w:val="0"/>
          <w:sz w:val="24"/>
        </w:rPr>
        <w:t>L'indice del fascicolo dedicato alla struttura clandestina reca il medesimo atto e la medesima segnatura, con una differenza: il numero romano del documento parlamentare è diverso. Uno dei due indici reca una segnatura errata, e il presente atto non stabilisce quale.</w:t>
      </w:r>
    </w:p>
    <w:p>
      <w:pPr>
        <w:spacing w:line="276" w:lineRule="auto" w:after="120"/>
        <w:ind w:firstLine="425"/>
        <w:jc w:val="both"/>
      </w:pPr>
      <w:r>
        <w:rPr>
          <w:rFonts w:ascii="Times New Roman" w:hAnsi="Times New Roman" w:cs="Times New Roman" w:eastAsia="Times New Roman"/>
          <w:b w:val="0"/>
          <w:sz w:val="24"/>
        </w:rPr>
        <w:t>La correzione va dunque apportata all'appendice quarta e si dichiara. La segnatura non è verificata. Essa era stata riportata come dato del documento, ed era dato di un documento soltanto; ora che si dispone di due documenti, essi divergono. L'affermazione secondo cui quella designazione costituiva il rinvio più preciso verso il corpus maggiore è mantenuta quanto alla completezza formale della segnatura, ed è revocata quanto alla sua affidabilità, che è nulla finché non sia risolta.</w:t>
      </w:r>
    </w:p>
    <w:p>
      <w:pPr>
        <w:spacing w:line="276" w:lineRule="auto" w:after="120"/>
        <w:ind w:firstLine="425"/>
        <w:jc w:val="both"/>
      </w:pPr>
      <w:r>
        <w:rPr>
          <w:rFonts w:ascii="Times New Roman" w:hAnsi="Times New Roman" w:cs="Times New Roman" w:eastAsia="Times New Roman"/>
          <w:b w:val="0"/>
          <w:sz w:val="24"/>
        </w:rPr>
        <w:t>Si osservi che la correzione è prodotta dalla medesima operazione che la Parte sesta dell'appendice quarta aveva prescritta poche ore prima, e che essa colpisce proprio l'affermazione che quell'appendice aveva formulata con maggiore sicurezza. La regola secondo cui un indice è una fonte e ha i propri errori era stata enunciata su un caso e applicata a nessuno; qui è applicata, e il primo atto che essa colpisce è quello di chi l'aveva enunciata.</w:t>
      </w:r>
    </w:p>
    <w:p>
      <w:pPr>
        <w:spacing w:line="276" w:lineRule="auto" w:after="120" w:before="240"/>
        <w:ind w:firstLine="0"/>
        <w:jc w:val="left"/>
      </w:pPr>
      <w:r>
        <w:rPr>
          <w:rFonts w:ascii="Times New Roman" w:hAnsi="Times New Roman" w:cs="Times New Roman" w:eastAsia="Times New Roman"/>
          <w:b/>
          <w:sz w:val="24"/>
        </w:rPr>
        <w:t>Parte quarta — Il verso favorevole della catalogazione multipla</w:t>
      </w:r>
    </w:p>
    <w:p>
      <w:pPr>
        <w:spacing w:line="276" w:lineRule="auto" w:after="120"/>
        <w:ind w:firstLine="425"/>
        <w:jc w:val="both"/>
      </w:pPr>
      <w:r>
        <w:rPr>
          <w:rFonts w:ascii="Times New Roman" w:hAnsi="Times New Roman" w:cs="Times New Roman" w:eastAsia="Times New Roman"/>
          <w:b w:val="0"/>
          <w:sz w:val="24"/>
        </w:rPr>
        <w:t>Si dichiara, per non lasciare il quadro inclinato da una sola parte, che la catalogazione multipla ha un effetto di segno opposto a quello finora esposto, e che esso è di rilievo pratico maggiore.</w:t>
      </w:r>
    </w:p>
    <w:p>
      <w:pPr>
        <w:spacing w:line="276" w:lineRule="auto" w:after="120"/>
        <w:ind w:firstLine="425"/>
        <w:jc w:val="both"/>
      </w:pPr>
      <w:r>
        <w:rPr>
          <w:rFonts w:ascii="Times New Roman" w:hAnsi="Times New Roman" w:cs="Times New Roman" w:eastAsia="Times New Roman"/>
          <w:b w:val="0"/>
          <w:sz w:val="24"/>
        </w:rPr>
        <w:t>Un atto con cinque indirizzi è un atto che si trova per cinque vie. Chi ignori l'esistenza di un fascicolo può raggiungere il medesimo documento per un altro, e chi lavori su una materia si imbatte in atti pertinenti a materie contigue senza averli cercati. Un sistema di catalogazione a rinvii multipli è, per costruzione, uno strumento di reperimento migliore di un sistema a chiave unica, e la sua tendenza a gonfiare i computi di convergenza è il prezzo di questa virtù e non un difetto autonomo.</w:t>
      </w:r>
    </w:p>
    <w:p>
      <w:pPr>
        <w:spacing w:line="276" w:lineRule="auto" w:after="120"/>
        <w:ind w:firstLine="425"/>
        <w:jc w:val="both"/>
      </w:pPr>
      <w:r>
        <w:rPr>
          <w:rFonts w:ascii="Times New Roman" w:hAnsi="Times New Roman" w:cs="Times New Roman" w:eastAsia="Times New Roman"/>
          <w:b w:val="0"/>
          <w:sz w:val="24"/>
        </w:rPr>
        <w:t>Ne segue che la regola settima non prescrive di diffidare dei rinvii ma di non contarli. Essi vanno seguiti tutti e computati una volta sola, ed è precisamente la disciplina che la risalita impone: moltiplicare le vie di accesso e non le catene.</w:t>
      </w:r>
    </w:p>
    <w:p>
      <w:pPr>
        <w:spacing w:line="276" w:lineRule="auto" w:after="120"/>
        <w:ind w:firstLine="425"/>
        <w:jc w:val="both"/>
      </w:pPr>
      <w:r>
        <w:rPr>
          <w:rFonts w:ascii="Times New Roman" w:hAnsi="Times New Roman" w:cs="Times New Roman" w:eastAsia="Times New Roman"/>
          <w:b w:val="0"/>
          <w:sz w:val="24"/>
        </w:rPr>
        <w:t>Si registra in questo verso un'acquisizione concreta per la tavola. Il fascicolo del caso rinvia, alla quarantacinquesima unità, alla banca dati e alle materie varie; l'unità dedicata ai procedimenti di strage dichiara che la banca dati è testualmente interrogabile e che i documenti non pubblicabili sono versati a un archivio storico determinato. Le due dichiarazioni, congiunte, stabiliscono che gli otto faldoni selezionati di un procedimento per omicidio sono ricercabili per parola e conservati in sede nominata. Nessuna delle due unità, presa da sola, lo stabiliva.</w:t>
      </w:r>
    </w:p>
    <w:p>
      <w:pPr>
        <w:spacing w:line="276" w:lineRule="auto" w:after="120" w:before="240"/>
        <w:ind w:firstLine="0"/>
        <w:jc w:val="left"/>
      </w:pPr>
      <w:r>
        <w:rPr>
          <w:rFonts w:ascii="Times New Roman" w:hAnsi="Times New Roman" w:cs="Times New Roman" w:eastAsia="Times New Roman"/>
          <w:b/>
          <w:sz w:val="24"/>
        </w:rPr>
        <w:t>Parte quinta — Le mutazioni di stato</w:t>
      </w:r>
    </w:p>
    <w:p>
      <w:pPr>
        <w:spacing w:line="276" w:lineRule="auto" w:after="120"/>
        <w:ind w:firstLine="425"/>
        <w:jc w:val="both"/>
      </w:pPr>
      <w:r>
        <w:rPr>
          <w:rFonts w:ascii="Times New Roman" w:hAnsi="Times New Roman" w:cs="Times New Roman" w:eastAsia="Times New Roman"/>
          <w:b w:val="0"/>
          <w:sz w:val="24"/>
        </w:rPr>
        <w:t>La Voce ventesima progredisce quanto alla qualità e non quanto al numero. Le cinquanta fonti designate per atto restano cinquanta; per quattordici di esse è ora noto che la medesima designazione è raggiungibile per una chiave diversa, e per una la chiave dichiarata è dubbia.</w:t>
      </w:r>
    </w:p>
    <w:p>
      <w:pPr>
        <w:spacing w:line="276" w:lineRule="auto" w:after="120"/>
        <w:ind w:firstLine="425"/>
        <w:jc w:val="both"/>
      </w:pPr>
      <w:r>
        <w:rPr>
          <w:rFonts w:ascii="Times New Roman" w:hAnsi="Times New Roman" w:cs="Times New Roman" w:eastAsia="Times New Roman"/>
          <w:b w:val="0"/>
          <w:sz w:val="24"/>
        </w:rPr>
        <w:t>Si iscrivono in tavola due voci nuove.</w:t>
      </w:r>
    </w:p>
    <w:p>
      <w:pPr>
        <w:spacing w:line="276" w:lineRule="auto" w:after="120"/>
        <w:ind w:firstLine="425"/>
        <w:jc w:val="both"/>
      </w:pPr>
      <w:r>
        <w:rPr>
          <w:rFonts w:ascii="Times New Roman" w:hAnsi="Times New Roman" w:cs="Times New Roman" w:eastAsia="Times New Roman"/>
          <w:b w:val="0"/>
          <w:sz w:val="24"/>
        </w:rPr>
        <w:t>Voce venticinquesima — La risoluzione delle tre divergenze di designazione. Oggetto: l'anno e il primo imputato dell'atto designato come unità tredicesima; la chiave esatta del fascicolo di destinazione del rinvio apposto all'unità ventiduesima; il numero del documento parlamentare recante il testo straniero tradotto all'unità ventisettesima. Sede: per le prime due, gli atti della Commissione presso l'archivio storico competente; per la terza, la raccolta degli atti parlamentari, che è pubblica e consultabile senza autorizzazione alcuna. Chiusura: risoluzione delle tre. Smentita: non ricorre, trattandosi di verifica di dato e non di ipotesi. Si segnala che la terza è, fra tutte le voci della tavola, quella di costo minore, poiché richiede la consultazione di un volume a stampa.</w:t>
      </w:r>
    </w:p>
    <w:p>
      <w:pPr>
        <w:spacing w:line="276" w:lineRule="auto" w:after="120"/>
        <w:ind w:firstLine="425"/>
        <w:jc w:val="both"/>
      </w:pPr>
      <w:r>
        <w:rPr>
          <w:rFonts w:ascii="Times New Roman" w:hAnsi="Times New Roman" w:cs="Times New Roman" w:eastAsia="Times New Roman"/>
          <w:b w:val="0"/>
          <w:sz w:val="24"/>
        </w:rPr>
        <w:t>Voce ventiseiesima — La verifica di reciprocità dei rinvii. Oggetto: per ciascuna delle cinquanta unità del fascicolo del caso, la verifica dell'esistenza del rinvio reciproco nei fascicoli di destinazione, e l'individuazione delle catalogazioni multiple non dichiarate. Sede: le unità d'indice della medesima serie parlamentare, già possedute per tre fascicoli su sette. Chiusura: verifica delle cinquanta. Smentita: la constatazione che i rinvii siano reciproci in tutti i casi verificabili, la quale eleverebbe il rapporto di quattordici su cinquanta da soglia a misura.</w:t>
      </w:r>
    </w:p>
    <w:p>
      <w:pPr>
        <w:spacing w:line="276" w:lineRule="auto" w:after="120"/>
        <w:ind w:firstLine="425"/>
        <w:jc w:val="both"/>
      </w:pPr>
      <w:r>
        <w:rPr>
          <w:rFonts w:ascii="Times New Roman" w:hAnsi="Times New Roman" w:cs="Times New Roman" w:eastAsia="Times New Roman"/>
          <w:b w:val="0"/>
          <w:sz w:val="24"/>
        </w:rPr>
        <w:t>Si dichiara che entrambe le voci sono eseguibili senza accesso archivistico per la parte che riguarda i fascicoli posseduti, e che esse si aggiungono pertanto alla classe, finora composta di due sole voci, di ciò che attende soltanto di essere compiuto.</w:t>
      </w:r>
    </w:p>
    <w:p>
      <w:pPr>
        <w:spacing w:line="276" w:lineRule="auto" w:after="120" w:before="240"/>
        <w:ind w:firstLine="0"/>
        <w:jc w:val="left"/>
      </w:pPr>
      <w:r>
        <w:rPr>
          <w:rFonts w:ascii="Times New Roman" w:hAnsi="Times New Roman" w:cs="Times New Roman" w:eastAsia="Times New Roman"/>
          <w:b/>
          <w:sz w:val="24"/>
        </w:rPr>
        <w:t>Parte sesta — Stati Zero residui</w:t>
      </w:r>
    </w:p>
    <w:p>
      <w:pPr>
        <w:spacing w:line="276" w:lineRule="auto" w:after="120"/>
        <w:ind w:firstLine="425"/>
        <w:jc w:val="both"/>
      </w:pPr>
      <w:r>
        <w:rPr>
          <w:rFonts w:ascii="Times New Roman" w:hAnsi="Times New Roman" w:cs="Times New Roman" w:eastAsia="Times New Roman"/>
          <w:b w:val="0"/>
          <w:sz w:val="24"/>
        </w:rPr>
        <w:t>Primo. I fascicoli di destinazione posseduti sono tre su sette. Mancano quelli dedicati al terrorismo di sinistra, alla loggia coperta, alla struttura informativa parallela e alle materie varie, che sono i quattro verso i quali il fascicolo del caso rinvia più frequentemente. La verifica di reciprocità è pertanto eseguibile solo in parte.</w:t>
      </w:r>
    </w:p>
    <w:p>
      <w:pPr>
        <w:spacing w:line="276" w:lineRule="auto" w:after="120"/>
        <w:ind w:firstLine="425"/>
        <w:jc w:val="both"/>
      </w:pPr>
      <w:r>
        <w:rPr>
          <w:rFonts w:ascii="Times New Roman" w:hAnsi="Times New Roman" w:cs="Times New Roman" w:eastAsia="Times New Roman"/>
          <w:b w:val="0"/>
          <w:sz w:val="24"/>
        </w:rPr>
        <w:t>Secondo. Il contenuto di nessuna unità è esaminato, e le cinque appendici hanno costruito un indice di reperimento e nient'altro. Si ripete la dichiarazione per la terza volta, poiché la quantità di estremi accumulati può indurre a credere il contrario.</w:t>
      </w:r>
    </w:p>
    <w:p>
      <w:pPr>
        <w:spacing w:line="276" w:lineRule="auto" w:after="120"/>
        <w:ind w:firstLine="425"/>
        <w:jc w:val="both"/>
      </w:pPr>
      <w:r>
        <w:rPr>
          <w:rFonts w:ascii="Times New Roman" w:hAnsi="Times New Roman" w:cs="Times New Roman" w:eastAsia="Times New Roman"/>
          <w:b w:val="0"/>
          <w:sz w:val="24"/>
        </w:rPr>
        <w:t>Terzo. Nessuna delle tre divergenze è risolta.</w:t>
      </w:r>
    </w:p>
    <w:p>
      <w:pPr>
        <w:spacing w:line="276" w:lineRule="auto" w:after="120"/>
        <w:ind w:firstLine="425"/>
        <w:jc w:val="both"/>
      </w:pPr>
      <w:r>
        <w:rPr>
          <w:rFonts w:ascii="Times New Roman" w:hAnsi="Times New Roman" w:cs="Times New Roman" w:eastAsia="Times New Roman"/>
          <w:b w:val="0"/>
          <w:sz w:val="24"/>
        </w:rPr>
        <w:t>Quarto. La reciprocità dei rinvii non è verificata per alcuna unità, e la misura di quattordici su cinquanta resta pertanto una soglia e non una misura.</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terza del giorno sul medesimo cantiere. Cantiere: designazione per atto delle fonti. Materia: le tre unità d'indice restanti della serie parlamentare, e la catalogazione multipla degli atti.</w:t>
      </w:r>
    </w:p>
    <w:p>
      <w:pPr>
        <w:spacing w:line="276" w:lineRule="auto" w:after="120"/>
        <w:ind w:firstLine="425"/>
        <w:jc w:val="both"/>
      </w:pPr>
      <w:r>
        <w:rPr>
          <w:rFonts w:ascii="Times New Roman" w:hAnsi="Times New Roman" w:cs="Times New Roman" w:eastAsia="Times New Roman"/>
          <w:b w:val="0"/>
          <w:sz w:val="24"/>
        </w:rPr>
        <w:t>Esito positivo: prima misura del fenomeno della catalogazione multipla, dichiarata come soglia e non come tetto, pari a quattordici unità su cinquanta con diciotto chiavi di destinazione esterne; individuazione del caso a cinque chiavi; enunciazione della settima e dell'ottava regola della risalita; individuazione della banca dati testualmente interrogabile e della sede di versamento dei documenti non pubblicabili; due voci nuove iscritte in tavola, entrambe eseguibili in parte senza accesso.</w:t>
      </w:r>
    </w:p>
    <w:p>
      <w:pPr>
        <w:spacing w:line="276" w:lineRule="auto" w:after="120"/>
        <w:ind w:firstLine="425"/>
        <w:jc w:val="both"/>
      </w:pPr>
      <w:r>
        <w:rPr>
          <w:rFonts w:ascii="Times New Roman" w:hAnsi="Times New Roman" w:cs="Times New Roman" w:eastAsia="Times New Roman"/>
          <w:b w:val="0"/>
          <w:sz w:val="24"/>
        </w:rPr>
        <w:t>Esito negativo: quattro fascicoli di destinazione su sette non posseduti; reciprocità dei rinvii non verificata; tre divergenze di designazione accertate e nessuna risolta.</w:t>
      </w:r>
    </w:p>
    <w:p>
      <w:pPr>
        <w:spacing w:line="276" w:lineRule="auto" w:after="120"/>
        <w:ind w:firstLine="425"/>
        <w:jc w:val="both"/>
      </w:pPr>
      <w:r>
        <w:rPr>
          <w:rFonts w:ascii="Times New Roman" w:hAnsi="Times New Roman" w:cs="Times New Roman" w:eastAsia="Times New Roman"/>
          <w:b w:val="0"/>
          <w:sz w:val="24"/>
        </w:rPr>
        <w:t>Riga di errore proprio, terza della giornata. L'appendice quarta ha qualificato una segnatura parlamentare come il rinvio più preciso verso il corpus maggiore, fondandosi su un solo indice. Un secondo indice della medesima serie reca la medesima segnatura con un numero di documento diverso. L'affermazione è revocata quanto all'affidabilità e mantenuta quanto alla completezza formale. Si registra che l'errore è del genere che l'appendice colpita aveva descritto poche ore prima, e che descriverlo non aveva impedito di commetterlo.</w:t>
      </w:r>
    </w:p>
    <w:p>
      <w:pPr>
        <w:spacing w:line="276" w:lineRule="auto" w:after="120"/>
        <w:ind w:firstLine="425"/>
        <w:jc w:val="both"/>
      </w:pPr>
      <w:r>
        <w:rPr>
          <w:rFonts w:ascii="Times New Roman" w:hAnsi="Times New Roman" w:cs="Times New Roman" w:eastAsia="Times New Roman"/>
          <w:b w:val="0"/>
          <w:sz w:val="24"/>
        </w:rPr>
        <w:t>Riga di avvertenza. Nulla di quanto qui esposto riguarda il contenuto degli atti, la responsabilità di alcuno o il merito di alcuna questione del caso. Il presente atto tratta di indirizzi di documenti. La sua sola conseguenza sostanziale è che i computi di convergenza fondati su chiavi di catalogo diverse vanno rifatti, e che essi risulteranno, per una parte non ancora determinata, computi su una catena sola.</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QUINTA ALLA FASE SETTIMA, la catalogazione multipla e la divergenza dei rinvii,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La chiave di catalogo non è l'atto: è un indirizzo dell'atto, e i rinvii si seguono tutti e si contano una volta sola.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