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ind w:firstLine="0"/>
        <w:jc w:val="center"/>
      </w:pPr>
      <w:r>
        <w:rPr>
          <w:rFonts w:ascii="Times New Roman" w:hAnsi="Times New Roman" w:cs="Times New Roman" w:eastAsia="Times New Roman"/>
          <w:b/>
          <w:sz w:val="24"/>
        </w:rPr>
        <w:t>ALDO MORO</w:t>
      </w:r>
    </w:p>
    <w:p>
      <w:pPr>
        <w:spacing w:line="276" w:lineRule="auto" w:after="120"/>
        <w:ind w:firstLine="0"/>
        <w:jc w:val="center"/>
      </w:pPr>
      <w:r>
        <w:rPr>
          <w:rFonts w:ascii="Times New Roman" w:hAnsi="Times New Roman" w:cs="Times New Roman" w:eastAsia="Times New Roman"/>
          <w:b/>
          <w:sz w:val="24"/>
        </w:rPr>
        <w:t>IL REGISTRO DEI CINQUANTACINQUE GIORNI</w:t>
      </w:r>
    </w:p>
    <w:p>
      <w:pPr>
        <w:spacing w:line="276" w:lineRule="auto" w:after="120"/>
        <w:ind w:firstLine="0"/>
        <w:jc w:val="center"/>
      </w:pPr>
      <w:r>
        <w:rPr>
          <w:rFonts w:ascii="Times New Roman" w:hAnsi="Times New Roman" w:cs="Times New Roman" w:eastAsia="Times New Roman"/>
          <w:b/>
          <w:sz w:val="24"/>
        </w:rPr>
        <w:t>APPENDICE SECONDA ALLA FASE SETTIMA</w:t>
      </w:r>
    </w:p>
    <w:p>
      <w:pPr>
        <w:spacing w:line="276" w:lineRule="auto" w:after="120"/>
        <w:ind w:firstLine="0"/>
        <w:jc w:val="center"/>
      </w:pPr>
      <w:r>
        <w:rPr>
          <w:rFonts w:ascii="Times New Roman" w:hAnsi="Times New Roman" w:cs="Times New Roman" w:eastAsia="Times New Roman"/>
          <w:b/>
          <w:sz w:val="24"/>
        </w:rPr>
        <w:t>La verifica genealogica delle fonti</w:t>
      </w:r>
    </w:p>
    <w:p>
      <w:pPr>
        <w:spacing w:line="276" w:lineRule="auto" w:after="120"/>
        <w:ind w:firstLine="0"/>
        <w:jc w:val="center"/>
      </w:pPr>
      <w:r>
        <w:rPr>
          <w:rFonts w:ascii="Times New Roman" w:hAnsi="Times New Roman" w:cs="Times New Roman" w:eastAsia="Times New Roman"/>
          <w:b/>
          <w:sz w:val="24"/>
        </w:rPr>
        <w:t>Esecuzione della Voce settima della tavola accresciuta</w:t>
      </w:r>
    </w:p>
    <w:p>
      <w:pPr>
        <w:spacing w:line="276" w:lineRule="auto" w:after="120"/>
        <w:ind w:firstLine="0"/>
        <w:jc w:val="center"/>
      </w:pPr>
      <w:r>
        <w:rPr>
          <w:rFonts w:ascii="Times New Roman" w:hAnsi="Times New Roman" w:cs="Times New Roman" w:eastAsia="Times New Roman"/>
          <w:b/>
          <w:sz w:val="24"/>
        </w:rPr>
        <w:t>Luigi De Michele</w:t>
      </w:r>
    </w:p>
    <w:p>
      <w:pPr>
        <w:spacing w:line="276" w:lineRule="auto" w:after="120"/>
        <w:ind w:firstLine="0"/>
        <w:jc w:val="center"/>
      </w:pPr>
      <w:r>
        <w:rPr>
          <w:rFonts w:ascii="Times New Roman" w:hAnsi="Times New Roman" w:cs="Times New Roman" w:eastAsia="Times New Roman"/>
          <w:b/>
          <w:sz w:val="24"/>
        </w:rPr>
        <w:t>15 agosto 2026</w:t>
      </w:r>
    </w:p>
    <w:p>
      <w:pPr>
        <w:spacing w:line="276" w:lineRule="auto" w:after="120" w:before="240"/>
        <w:ind w:firstLine="0"/>
        <w:jc w:val="left"/>
      </w:pPr>
      <w:r>
        <w:rPr>
          <w:rFonts w:ascii="Times New Roman" w:hAnsi="Times New Roman" w:cs="Times New Roman" w:eastAsia="Times New Roman"/>
          <w:b/>
          <w:sz w:val="24"/>
        </w:rPr>
        <w:t>Atto di edizione dell'appendice seconda</w:t>
      </w:r>
    </w:p>
    <w:p>
      <w:pPr>
        <w:spacing w:line="276" w:lineRule="auto" w:after="120"/>
        <w:ind w:firstLine="425"/>
        <w:jc w:val="both"/>
      </w:pPr>
      <w:r>
        <w:rPr>
          <w:rFonts w:ascii="Times New Roman" w:hAnsi="Times New Roman" w:cs="Times New Roman" w:eastAsia="Times New Roman"/>
          <w:b w:val="0"/>
          <w:sz w:val="24"/>
        </w:rPr>
        <w:t>La presente è appendice seconda alla Fase Settima ed esegue la Voce settima della tavola accresciuta delle acquisizioni necessarie, la quale prescrive la risalita di ciascuna fonte al proprio evento originario per stabilire quante catene realmente indipendenti sussistano. Come l'appendice prima, essa non modifica alcun Capitolo dell'opera e non ne aggiunge di nuovi: i settanta restano settanta.</w:t>
      </w:r>
    </w:p>
    <w:p>
      <w:pPr>
        <w:spacing w:line="276" w:lineRule="auto" w:after="120"/>
        <w:ind w:firstLine="425"/>
        <w:jc w:val="both"/>
      </w:pPr>
      <w:r>
        <w:rPr>
          <w:rFonts w:ascii="Times New Roman" w:hAnsi="Times New Roman" w:cs="Times New Roman" w:eastAsia="Times New Roman"/>
          <w:b w:val="0"/>
          <w:sz w:val="24"/>
        </w:rPr>
        <w:t>Va detto in apertura ciò che distingue questa esecuzione da ogni altra voce della tavola. L'appendice prima si chiudeva con l'osservazione che nessuna delle diciannove voci richiede una decisione metodologica e che tutte richiedono un accesso. Quell'osservazione è, quanto alla Voce settima, falsa. La verifica genealogica non richiede alcun archivio: si conduce sul corpus, con il corpus, e sarebbe stata conducibile in ciascuno dei giorni nei quali i settanta Capitoli furono composti. Il suo differimento non ha avuto per causa una porta chiusa. Ha avuto per causa che nessuno l'ha compiuta. Poiché l'osservazione erronea è stata scritta da chi scrive, è da chi scrive che va corretta, e la correzione è dichiarata al principio anziché nascosta in fondo.</w:t>
      </w:r>
    </w:p>
    <w:p>
      <w:pPr>
        <w:spacing w:line="276" w:lineRule="auto" w:after="120"/>
        <w:ind w:firstLine="425"/>
        <w:jc w:val="both"/>
      </w:pPr>
      <w:r>
        <w:rPr>
          <w:rFonts w:ascii="Times New Roman" w:hAnsi="Times New Roman" w:cs="Times New Roman" w:eastAsia="Times New Roman"/>
          <w:b w:val="0"/>
          <w:sz w:val="24"/>
        </w:rPr>
        <w:t>Va detta una seconda cosa, e più grave. L'operazione qui eseguita non è stata omessa per dimenticanza: essa è prescritta dall'opera a sé stessa in tre luoghi distinti, con tre formulazioni che si rafforzano a vicenda. Il Blocco mirato numero centouno la iscrive come seconda delle cinque operazioni con le quali il lettore può controllare l'opera anziché crederle, e le assegna il verbo esatto, che è collassare la genealogia. Il Blocco mirato numero cinque, trattando della rete dei documenti, accerta una concentrazione notevole delle ricostruzioni su un numero limitato di fonti originarie e ne trae che la collassatura genealogica è, in questa materia, operazione prioritaria. Il Blocco mirato numero millecinquantuno, esponendo lo statuto del repertorio critico, dichiara che un'opera la quale prescriva la collassatura genealogica come operazione preliminare deve mettere il lettore in condizione di compierla, poiché senza il repertorio la disciplina resta dichiarata e non praticabile. Preliminare, prioritaria, condizione di praticabilità: tre qualificazioni, e nessuna esecuzione. L'opera ha costruito con duecentoquarantaquattro voci l'inventario che rende l'operazione possibile, e non ha compiuto l'operazione.</w:t>
      </w:r>
    </w:p>
    <w:p>
      <w:pPr>
        <w:spacing w:line="276" w:lineRule="auto" w:after="120" w:before="240"/>
        <w:ind w:firstLine="0"/>
        <w:jc w:val="left"/>
      </w:pPr>
      <w:r>
        <w:rPr>
          <w:rFonts w:ascii="Times New Roman" w:hAnsi="Times New Roman" w:cs="Times New Roman" w:eastAsia="Times New Roman"/>
          <w:b/>
          <w:sz w:val="24"/>
        </w:rPr>
        <w:t>Parte prima — Che cosa sia la risalita e che cosa non sia</w:t>
      </w:r>
    </w:p>
    <w:p>
      <w:pPr>
        <w:spacing w:line="276" w:lineRule="auto" w:after="120" w:before="240"/>
        <w:ind w:firstLine="0"/>
        <w:jc w:val="left"/>
      </w:pPr>
      <w:r>
        <w:rPr>
          <w:rFonts w:ascii="Times New Roman" w:hAnsi="Times New Roman" w:cs="Times New Roman" w:eastAsia="Times New Roman"/>
          <w:b/>
          <w:sz w:val="24"/>
        </w:rPr>
        <w:t>I tre atti che stanno attorno a ogni fonte</w:t>
      </w:r>
    </w:p>
    <w:p>
      <w:pPr>
        <w:spacing w:line="276" w:lineRule="auto" w:after="120"/>
        <w:ind w:firstLine="425"/>
        <w:jc w:val="both"/>
      </w:pPr>
      <w:r>
        <w:rPr>
          <w:rFonts w:ascii="Times New Roman" w:hAnsi="Times New Roman" w:cs="Times New Roman" w:eastAsia="Times New Roman"/>
          <w:b w:val="0"/>
          <w:sz w:val="24"/>
        </w:rPr>
        <w:t>Risalire una fonte al proprio evento originario significa individuare l'atto che l'ha prodotta. Attorno a ciascuna fonte si dispongono tre atti distinti, che la pratica corrente confonde e che qui si tengono separati, poiché dalla loro confusione discende per intero l'errore che la presente verifica accerta.</w:t>
      </w:r>
    </w:p>
    <w:p>
      <w:pPr>
        <w:spacing w:line="276" w:lineRule="auto" w:after="120"/>
        <w:ind w:firstLine="425"/>
        <w:jc w:val="both"/>
      </w:pPr>
      <w:r>
        <w:rPr>
          <w:rFonts w:ascii="Times New Roman" w:hAnsi="Times New Roman" w:cs="Times New Roman" w:eastAsia="Times New Roman"/>
          <w:b w:val="0"/>
          <w:sz w:val="24"/>
        </w:rPr>
        <w:t>Il primo è l'atto di produzione. Qualcuno ha formato un documento, reso una dichiarazione, eseguito un rilievo, redatto una perizia, deliberato un provvedimento. Questo è l'evento originario, ed è il solo che generi una catena.</w:t>
      </w:r>
    </w:p>
    <w:p>
      <w:pPr>
        <w:spacing w:line="276" w:lineRule="auto" w:after="120"/>
        <w:ind w:firstLine="425"/>
        <w:jc w:val="both"/>
      </w:pPr>
      <w:r>
        <w:rPr>
          <w:rFonts w:ascii="Times New Roman" w:hAnsi="Times New Roman" w:cs="Times New Roman" w:eastAsia="Times New Roman"/>
          <w:b w:val="0"/>
          <w:sz w:val="24"/>
        </w:rPr>
        <w:t>Il secondo è l'atto di acquisizione. Un ufficio, un procedimento, una commissione ha preso quel documento e lo ha inserito nel proprio fascicolo. L'acquisizione è essa stessa un fatto, e di quel fatto l'acquirente è fonte originaria e piena: che un organo abbia acquisito un atto, in quale data e per quale via, è attestato dall'organo. Ma di ciò che l'atto acquisito attesta l'acquirente non è fonte alcuna. Egli lo detiene; non lo attesta. La differenza fra detenere e attestare è la sola cosa che la presente verifica domandi di tenere ferma, e la sola che la letteratura su questa materia tenga ferma di rado.</w:t>
      </w:r>
    </w:p>
    <w:p>
      <w:pPr>
        <w:spacing w:line="276" w:lineRule="auto" w:after="120"/>
        <w:ind w:firstLine="425"/>
        <w:jc w:val="both"/>
      </w:pPr>
      <w:r>
        <w:rPr>
          <w:rFonts w:ascii="Times New Roman" w:hAnsi="Times New Roman" w:cs="Times New Roman" w:eastAsia="Times New Roman"/>
          <w:b w:val="0"/>
          <w:sz w:val="24"/>
        </w:rPr>
        <w:t>Il terzo è l'atto di esposizione. Un autore, una relazione, una monografia, un documentario riferisce ciò che il documento contiene. L'esposizione non genera catena in alcun caso: non quando è accurata, non quando è la prima, non quando aggiunge contesto. Essa può accrescere la comprensione e non accresce il computo.</w:t>
      </w:r>
    </w:p>
    <w:p>
      <w:pPr>
        <w:spacing w:line="276" w:lineRule="auto" w:after="120"/>
        <w:ind w:firstLine="425"/>
        <w:jc w:val="both"/>
      </w:pPr>
      <w:r>
        <w:rPr>
          <w:rFonts w:ascii="Times New Roman" w:hAnsi="Times New Roman" w:cs="Times New Roman" w:eastAsia="Times New Roman"/>
          <w:b w:val="0"/>
          <w:sz w:val="24"/>
        </w:rPr>
        <w:t>Prima regola della risalita: soltanto la produzione genera catena; l'acquisizione e l'esposizione non ne generano.</w:t>
      </w:r>
    </w:p>
    <w:p>
      <w:pPr>
        <w:spacing w:line="276" w:lineRule="auto" w:after="120" w:before="240"/>
        <w:ind w:firstLine="0"/>
        <w:jc w:val="left"/>
      </w:pPr>
      <w:r>
        <w:rPr>
          <w:rFonts w:ascii="Times New Roman" w:hAnsi="Times New Roman" w:cs="Times New Roman" w:eastAsia="Times New Roman"/>
          <w:b/>
          <w:sz w:val="24"/>
        </w:rPr>
        <w:t>L'errore che lo standard invita</w:t>
      </w:r>
    </w:p>
    <w:p>
      <w:pPr>
        <w:spacing w:line="276" w:lineRule="auto" w:after="120"/>
        <w:ind w:firstLine="425"/>
        <w:jc w:val="both"/>
      </w:pPr>
      <w:r>
        <w:rPr>
          <w:rFonts w:ascii="Times New Roman" w:hAnsi="Times New Roman" w:cs="Times New Roman" w:eastAsia="Times New Roman"/>
          <w:b w:val="0"/>
          <w:sz w:val="24"/>
        </w:rPr>
        <w:t>Lo standard adottato dall'opera richiede, per il grado massimo conferito per convergenza, tre fonti indipendenti di natura diversa. I due requisiti non sono simmetrici quanto alla propria visibilità, ed è in questa asimmetria che si annida l'errore. La diversità della natura si vede a colpo d'occhio: una sentenza, una relazione parlamentare e una monografia sono tre cose manifestamente diverse. L'indipendenza della genealogia non si vede affatto: che tutte e tre riferiscano il medesimo verbale formato nel millenovecentosettantotto non è leggibile sulla superficie di nessuna delle tre, e diventa leggibile soltanto risalendo.</w:t>
      </w:r>
    </w:p>
    <w:p>
      <w:pPr>
        <w:spacing w:line="276" w:lineRule="auto" w:after="120"/>
        <w:ind w:firstLine="425"/>
        <w:jc w:val="both"/>
      </w:pPr>
      <w:r>
        <w:rPr>
          <w:rFonts w:ascii="Times New Roman" w:hAnsi="Times New Roman" w:cs="Times New Roman" w:eastAsia="Times New Roman"/>
          <w:b w:val="0"/>
          <w:sz w:val="24"/>
        </w:rPr>
        <w:t>Ne consegue che l'applicazione dello standard condotta sulla sola natura produce sovrastime, e le produce sistematicamente in una sola direzione, poiché ogni sovrastima innalza un grado e nessuna lo abbassa. Un criterio che sbagli in modo casuale si corregge da sé nel numero; un criterio che sbagli sempre nel medesimo verso non si corregge mai, e appare tanto più affidabile quanto più è applicato. È la medesima struttura d'errore che la campagna del quattordici e quindici agosto ha registrata al proprio quarto errore proprio: uno strumento sistematicamente storto restituisce sempre il medesimo risultato storto, e per ciò appare affidabilissimo.</w:t>
      </w:r>
    </w:p>
    <w:p>
      <w:pPr>
        <w:spacing w:line="276" w:lineRule="auto" w:after="120"/>
        <w:ind w:firstLine="425"/>
        <w:jc w:val="both"/>
      </w:pPr>
      <w:r>
        <w:rPr>
          <w:rFonts w:ascii="Times New Roman" w:hAnsi="Times New Roman" w:cs="Times New Roman" w:eastAsia="Times New Roman"/>
          <w:b w:val="0"/>
          <w:sz w:val="24"/>
        </w:rPr>
        <w:t>Seconda regola della risalita: l'eterogeneità della natura non surroga l'indipendenza della genealogia; le due condizioni si verificano separatamente, e la seconda si verifica per prima.</w:t>
      </w:r>
    </w:p>
    <w:p>
      <w:pPr>
        <w:spacing w:line="276" w:lineRule="auto" w:after="120" w:before="240"/>
        <w:ind w:firstLine="0"/>
        <w:jc w:val="left"/>
      </w:pPr>
      <w:r>
        <w:rPr>
          <w:rFonts w:ascii="Times New Roman" w:hAnsi="Times New Roman" w:cs="Times New Roman" w:eastAsia="Times New Roman"/>
          <w:b/>
          <w:sz w:val="24"/>
        </w:rPr>
        <w:t>Che cosa la risalita non è</w:t>
      </w:r>
    </w:p>
    <w:p>
      <w:pPr>
        <w:spacing w:line="276" w:lineRule="auto" w:after="120"/>
        <w:ind w:firstLine="425"/>
        <w:jc w:val="both"/>
      </w:pPr>
      <w:r>
        <w:rPr>
          <w:rFonts w:ascii="Times New Roman" w:hAnsi="Times New Roman" w:cs="Times New Roman" w:eastAsia="Times New Roman"/>
          <w:b w:val="0"/>
          <w:sz w:val="24"/>
        </w:rPr>
        <w:t>La risalita non è un giudizio sull'attendibilità delle fonti e non ne tocca alcuna. Essa conta le catene e non le pesa. Una catena sola può valere moltissimo — un rilievo dell'immediatezza, il testo di una legge, una perizia entro il proprio perimetro tecnico — e tre catene possono valere poco. Chi legga il presente atto come una svalutazione del patrimonio documentale dell'opera lo legge contro il proprio oggetto: esso non tocca il valore di alcuna fonte, ma il computo che di più fonti è stato fatto.</w:t>
      </w:r>
    </w:p>
    <w:p>
      <w:pPr>
        <w:spacing w:line="276" w:lineRule="auto" w:after="120" w:before="240"/>
        <w:ind w:firstLine="0"/>
        <w:jc w:val="left"/>
      </w:pPr>
      <w:r>
        <w:rPr>
          <w:rFonts w:ascii="Times New Roman" w:hAnsi="Times New Roman" w:cs="Times New Roman" w:eastAsia="Times New Roman"/>
          <w:b/>
          <w:sz w:val="24"/>
        </w:rPr>
        <w:t>Parte seconda — La misura, dichiarata come tetto e poi ristretta</w:t>
      </w:r>
    </w:p>
    <w:p>
      <w:pPr>
        <w:spacing w:line="276" w:lineRule="auto" w:after="120"/>
        <w:ind w:firstLine="425"/>
        <w:jc w:val="both"/>
      </w:pPr>
      <w:r>
        <w:rPr>
          <w:rFonts w:ascii="Times New Roman" w:hAnsi="Times New Roman" w:cs="Times New Roman" w:eastAsia="Times New Roman"/>
          <w:b w:val="0"/>
          <w:sz w:val="24"/>
        </w:rPr>
        <w:t>La campagna del quattordici e quindici agosto ha lasciato una regola che qui si applica per la prima volta a freddo, cioè non per correggere una misura già pubblicata ma per governarne una nuova. Una misura larga non è una stima: è un tetto. Essa va pubblicata soltanto insieme al proprio limite dichiarato, e va ristretta prima che se ne traggano conseguenze. Si procede dunque per restringimenti successivi, dichiarando a ciascun passo l'operazione compiuta, affinché chiunque possa rifarla.</w:t>
      </w:r>
    </w:p>
    <w:p>
      <w:pPr>
        <w:spacing w:line="276" w:lineRule="auto" w:after="120"/>
        <w:ind w:firstLine="425"/>
        <w:jc w:val="both"/>
      </w:pPr>
      <w:r>
        <w:rPr>
          <w:rFonts w:ascii="Times New Roman" w:hAnsi="Times New Roman" w:cs="Times New Roman" w:eastAsia="Times New Roman"/>
          <w:b w:val="0"/>
          <w:sz w:val="24"/>
        </w:rPr>
        <w:t>La procedura è la seguente, ed è riproducibile. Il testo del documento consegnato è stato estratto in forma piana, paragrafo per paragrafo, scartando i paragrafi vuoti. Sul testo così ottenuto sono state condotte ricerche di stringa, e i risultati sono riportati per intero, compresi quelli che nuocciono alla tesi di chi scrive.</w:t>
      </w:r>
    </w:p>
    <w:p>
      <w:pPr>
        <w:spacing w:line="276" w:lineRule="auto" w:after="120"/>
        <w:ind w:firstLine="425"/>
        <w:jc w:val="both"/>
      </w:pPr>
      <w:r>
        <w:rPr>
          <w:rFonts w:ascii="Times New Roman" w:hAnsi="Times New Roman" w:cs="Times New Roman" w:eastAsia="Times New Roman"/>
          <w:b w:val="0"/>
          <w:sz w:val="24"/>
        </w:rPr>
        <w:t>Il corpus dell'opera prima consta di quattromilatrecentosessantuno paragrafi e di trecentosettantaquattromilacinquecentonovantatré parole. Le due cifre coincidono con quelle della scheda di consegna quanto alle parole, e la coincidenza è stata verificata e non trascritta.</w:t>
      </w:r>
    </w:p>
    <w:p>
      <w:pPr>
        <w:spacing w:line="276" w:lineRule="auto" w:after="120"/>
        <w:ind w:firstLine="425"/>
        <w:jc w:val="both"/>
      </w:pPr>
      <w:r>
        <w:rPr>
          <w:rFonts w:ascii="Times New Roman" w:hAnsi="Times New Roman" w:cs="Times New Roman" w:eastAsia="Times New Roman"/>
          <w:b w:val="0"/>
          <w:sz w:val="24"/>
        </w:rPr>
        <w:t>Misura larga. La stringa che designa il grado massimo ricorre nel corpus milleottanta volte, distribuite su millesessantatré paragrafi. La differenza fra le due cifre non è errore: la prima conta le occorrenze, la seconda i paragrafi che ne recano almeno una. La scheda di consegna riporta la prima. Entrambe sono esatte e misurano cose diverse, e si dichiarano entrambe perché la loro differenza è essa stessa un dato: ventuno paragrafi recano il grado massimo più di una volta.</w:t>
      </w:r>
    </w:p>
    <w:p>
      <w:pPr>
        <w:spacing w:line="276" w:lineRule="auto" w:after="120"/>
        <w:ind w:firstLine="425"/>
        <w:jc w:val="both"/>
      </w:pPr>
      <w:r>
        <w:rPr>
          <w:rFonts w:ascii="Times New Roman" w:hAnsi="Times New Roman" w:cs="Times New Roman" w:eastAsia="Times New Roman"/>
          <w:b w:val="0"/>
          <w:sz w:val="24"/>
        </w:rPr>
        <w:t>Questa è la misura larga, ed è un tetto. Essa non dice che millesessantatré proposizioni siano soggette alla risalita. Dice che non più di millesessantatré lo sono.</w:t>
      </w:r>
    </w:p>
    <w:p>
      <w:pPr>
        <w:spacing w:line="276" w:lineRule="auto" w:after="120"/>
        <w:ind w:firstLine="425"/>
        <w:jc w:val="both"/>
      </w:pPr>
      <w:r>
        <w:rPr>
          <w:rFonts w:ascii="Times New Roman" w:hAnsi="Times New Roman" w:cs="Times New Roman" w:eastAsia="Times New Roman"/>
          <w:b w:val="0"/>
          <w:sz w:val="24"/>
        </w:rPr>
        <w:t>Primo restringimento, per la seconda condizione sufficiente. Lo standard dell'opera non ha una condizione sufficiente ma due, e il Blocco mirato numero trecentosedici le enuncia entrambe: la convergenza di almeno tre fonti indipendenti di natura diversa, ovvero l'accertamento definitivo di una sede giurisdizionale che quella triangolazione abbia già compiuta con le garanzie del contraddittorio. Il secondo membro non addossa all'opera l'onere del computo: lo colloca dove fu assolto, e sotto regole più severe di quelle che un ricercatore solitario possa praticare, poiché il contraddittorio è un controllo che nessuna diligenza privata replica. Le proposizioni che poggiano sul secondo membro non sono soggette alla presente verifica, la quale verte sul computo compiuto dall'opera e non su quello compiuto altrove. Trentotto paragrafi fra quelli recanti il grado massimo invocano espressamente la definitività dell'accertamento.</w:t>
      </w:r>
    </w:p>
    <w:p>
      <w:pPr>
        <w:spacing w:line="276" w:lineRule="auto" w:after="120"/>
        <w:ind w:firstLine="425"/>
        <w:jc w:val="both"/>
      </w:pPr>
      <w:r>
        <w:rPr>
          <w:rFonts w:ascii="Times New Roman" w:hAnsi="Times New Roman" w:cs="Times New Roman" w:eastAsia="Times New Roman"/>
          <w:b w:val="0"/>
          <w:sz w:val="24"/>
        </w:rPr>
        <w:t>Secondo restringimento, per l'invocazione della convergenza. Restano soggette alla risalita le proposizioni che il grado massimo ricevono per computo proprio dell'opera. Si sono cercati i paragrafi che, recando il grado, invocano altresì convergenza, triangolazione, riscontro, consilienza, pluralità o indipendenza di fonti. Sono settantatré. Escludendone i blocchi del repertorio critico, i quali enunciano regole di conferimento e non asseriscono fatti del mondo, sono sessantaquattro.</w:t>
      </w:r>
    </w:p>
    <w:p>
      <w:pPr>
        <w:spacing w:line="276" w:lineRule="auto" w:after="120"/>
        <w:ind w:firstLine="425"/>
        <w:jc w:val="both"/>
      </w:pPr>
      <w:r>
        <w:rPr>
          <w:rFonts w:ascii="Times New Roman" w:hAnsi="Times New Roman" w:cs="Times New Roman" w:eastAsia="Times New Roman"/>
          <w:b w:val="0"/>
          <w:sz w:val="24"/>
        </w:rPr>
        <w:t>Il rapporto fra la misura larga e la misura ristretta è di millesessantatré a sessantaquattro, cioè di un ordine di grandezza e mezzo. È esattamente ciò che il settimo errore registrato in campagna prevedeva per ogni misura larga condotta su questo corpus, ed è l'ottava volta consecutiva che la previsione si verifica. Si registra la regolarità, poiché una previsione che si avveri otto volte su otto cessa di essere cautela e diventa proprietà nota dello strumento.</w:t>
      </w:r>
    </w:p>
    <w:p>
      <w:pPr>
        <w:spacing w:line="276" w:lineRule="auto" w:after="120"/>
        <w:ind w:firstLine="425"/>
        <w:jc w:val="both"/>
      </w:pPr>
      <w:r>
        <w:rPr>
          <w:rFonts w:ascii="Times New Roman" w:hAnsi="Times New Roman" w:cs="Times New Roman" w:eastAsia="Times New Roman"/>
          <w:b w:val="0"/>
          <w:sz w:val="24"/>
        </w:rPr>
        <w:t>Terzo restringimento, e qui la verifica incontra il proprio ostacolo. Dei sessantaquattro paragrafi soggetti alla risalita, trentacinque nominano almeno una classe di fonte. Due designano qualcosa che si avvicini a un atto determinato.</w:t>
      </w:r>
    </w:p>
    <w:p>
      <w:pPr>
        <w:spacing w:line="276" w:lineRule="auto" w:after="120"/>
        <w:ind w:firstLine="425"/>
        <w:jc w:val="both"/>
      </w:pPr>
      <w:r>
        <w:rPr>
          <w:rFonts w:ascii="Times New Roman" w:hAnsi="Times New Roman" w:cs="Times New Roman" w:eastAsia="Times New Roman"/>
          <w:b w:val="0"/>
          <w:sz w:val="24"/>
        </w:rPr>
        <w:t>Due su sessantaquattro. Su questa cifra si tornerà nella Parte sesta, perché essa non misura la fragilità delle fonti dell'opera: misura l'impraticabilità della verifica che l'opera ha prescritta tre volte, a sé stessa e al proprio lettore.</w:t>
      </w:r>
    </w:p>
    <w:p>
      <w:pPr>
        <w:spacing w:line="276" w:lineRule="auto" w:after="120" w:before="240"/>
        <w:ind w:firstLine="0"/>
        <w:jc w:val="left"/>
      </w:pPr>
      <w:r>
        <w:rPr>
          <w:rFonts w:ascii="Times New Roman" w:hAnsi="Times New Roman" w:cs="Times New Roman" w:eastAsia="Times New Roman"/>
          <w:b/>
          <w:sz w:val="24"/>
        </w:rPr>
        <w:t>Parte terza — I nuclei di produzione</w:t>
      </w:r>
    </w:p>
    <w:p>
      <w:pPr>
        <w:spacing w:line="276" w:lineRule="auto" w:after="120"/>
        <w:ind w:firstLine="425"/>
        <w:jc w:val="both"/>
      </w:pPr>
      <w:r>
        <w:rPr>
          <w:rFonts w:ascii="Times New Roman" w:hAnsi="Times New Roman" w:cs="Times New Roman" w:eastAsia="Times New Roman"/>
          <w:b w:val="0"/>
          <w:sz w:val="24"/>
        </w:rPr>
        <w:t>Il repertorio critico della settima serie censisce duecentoquarantaquattro voci, ciascuna delle quali descrive una classe di fonti impiegate dall'opera indicandone la natura, ciò che essa stabilisce, la sua genealogia, il suo limite e il grado massimo che può conferire. Quanto al campo della genealogia, centosessantuno voci dichiarano provenienza originaria, quarantadue derivata, quattordici mista, e ventisette non la dichiarano ovvero la dichiarano in forma che non si lascia ricondurre alle due categorie.</w:t>
      </w:r>
    </w:p>
    <w:p>
      <w:pPr>
        <w:spacing w:line="276" w:lineRule="auto" w:after="120"/>
        <w:ind w:firstLine="425"/>
        <w:jc w:val="both"/>
      </w:pPr>
      <w:r>
        <w:rPr>
          <w:rFonts w:ascii="Times New Roman" w:hAnsi="Times New Roman" w:cs="Times New Roman" w:eastAsia="Times New Roman"/>
          <w:b w:val="0"/>
          <w:sz w:val="24"/>
        </w:rPr>
        <w:t>Il dato rilevante non è il numero delle voci originarie. È che centosessantuno voci originarie non discendono da centosessantuno eventi distinti. Esse discendono da un numero assai minore di nuclei di produzione, che la risalita individua e che qui si enumerano in prosa, uno per uno, con la loro proprietà decisiva ai fini del computo.</w:t>
      </w:r>
    </w:p>
    <w:p>
      <w:pPr>
        <w:spacing w:line="276" w:lineRule="auto" w:after="120"/>
        <w:ind w:firstLine="425"/>
        <w:jc w:val="both"/>
      </w:pPr>
      <w:r>
        <w:rPr>
          <w:rFonts w:ascii="Times New Roman" w:hAnsi="Times New Roman" w:cs="Times New Roman" w:eastAsia="Times New Roman"/>
          <w:b w:val="0"/>
          <w:sz w:val="24"/>
        </w:rPr>
        <w:t>Primo nucleo, l'immediatezza. Rilievi, verbali, perizie e atti operativi formati fra il sedici marzo e il nove maggio millenovecentosettantotto e nei mesi immediatamente successivi. È il nucleo insostituibile, e il repertorio lo qualifica tale: ciò che non fu rilevato allora non è rilevabile ora, e nessuna tecnologia successiva supplisce a un rilievo non eseguito. Le voci che vi afferiscono sono numerose e la loro pluralità non moltiplica le catene nella misura in cui appare. Un verbale e la perizia disposta sul reperto che quel verbale descrive sono due atti; ma se la perizia opera sul solo reperto descritto in quel verbale, la loro indipendenza è parziale e va dichiarata parziale, poiché un vizio del verbale si propaga alla perizia mentre un vizio della perizia non si propaga al verbale. L'indipendenza, in questi casi, non è una proprietà simmetrica, e trattarla come tale è la seconda fonte di sovrastima dopo la confusione fra detenere e attestare.</w:t>
      </w:r>
    </w:p>
    <w:p>
      <w:pPr>
        <w:spacing w:line="276" w:lineRule="auto" w:after="120"/>
        <w:ind w:firstLine="425"/>
        <w:jc w:val="both"/>
      </w:pPr>
      <w:r>
        <w:rPr>
          <w:rFonts w:ascii="Times New Roman" w:hAnsi="Times New Roman" w:cs="Times New Roman" w:eastAsia="Times New Roman"/>
          <w:b w:val="0"/>
          <w:sz w:val="24"/>
        </w:rPr>
        <w:t>Secondo nucleo, il giudiziario. Le pronunce dei procedimenti sul sequestro e sui fatti connessi, e gli atti che esse hanno acquisiti. La distinzione va tenuta ferma senza eccezione: la sentenza è fonte originaria e piena di ciò che accerta, e non è fonte alcuna dei documenti che ha acquisiti, dei quali resta fonte l'atto che li produsse. Una ricostruzione che citi una sentenza per un documento allegato alla sentenza non ha citato due fonti.</w:t>
      </w:r>
    </w:p>
    <w:p>
      <w:pPr>
        <w:spacing w:line="276" w:lineRule="auto" w:after="120"/>
        <w:ind w:firstLine="425"/>
        <w:jc w:val="both"/>
      </w:pPr>
      <w:r>
        <w:rPr>
          <w:rFonts w:ascii="Times New Roman" w:hAnsi="Times New Roman" w:cs="Times New Roman" w:eastAsia="Times New Roman"/>
          <w:b w:val="0"/>
          <w:sz w:val="24"/>
        </w:rPr>
        <w:t>Terzo, quarto e quinto nucleo, i parlamentari. Sono tre e il repertorio li tiene distinti, come è giusto, poiché operarono in epoche diverse, con poteri diversi e con esiti di unanimità diversi. Ma tutti e tre condividono un carattere che la risalita mette in evidenza e che è decisivo per il computo: essi sono, per la parte prevalente del proprio contenuto, nuclei di acquisizione e non di produzione. Producono catena propria dove hanno generato un atto nuovo — le audizioni che tennero, le perizie che disposero su reperti conservati, le valutazioni che formularono e che sono giudizi loro. Per tutto il resto detengono e non attestano.</w:t>
      </w:r>
    </w:p>
    <w:p>
      <w:pPr>
        <w:spacing w:line="276" w:lineRule="auto" w:after="120"/>
        <w:ind w:firstLine="425"/>
        <w:jc w:val="both"/>
      </w:pPr>
      <w:r>
        <w:rPr>
          <w:rFonts w:ascii="Times New Roman" w:hAnsi="Times New Roman" w:cs="Times New Roman" w:eastAsia="Times New Roman"/>
          <w:b w:val="0"/>
          <w:sz w:val="24"/>
        </w:rPr>
        <w:t>La conseguenza è la più pesante dell'intera verifica e va enunciata senza attenuazioni. Lo schema di triangolazione più frequente nella letteratura su questa materia — una sentenza, una relazione parlamentare, una monografia — è, in una proporzione elevata di casi, una catena sola esposta tre volte. La quinta regola del memorandum operativo lo prescrive come cautela da osservare; la presente verifica lo constata come regolarità del corpus. Ciò che era prudenza raccomandata diventa, per constatazione, proprietà del campo.</w:t>
      </w:r>
    </w:p>
    <w:p>
      <w:pPr>
        <w:spacing w:line="276" w:lineRule="auto" w:after="120"/>
        <w:ind w:firstLine="425"/>
        <w:jc w:val="both"/>
      </w:pPr>
      <w:r>
        <w:rPr>
          <w:rFonts w:ascii="Times New Roman" w:hAnsi="Times New Roman" w:cs="Times New Roman" w:eastAsia="Times New Roman"/>
          <w:b w:val="0"/>
          <w:sz w:val="24"/>
        </w:rPr>
        <w:t>Sesto nucleo, l'endogeno. Documenti interni dell'organizzazione, comunicati diffusi durante il sequestro, risoluzioni strategiche, materiali di formazione sequestrati nelle operazioni successive. Nucleo originario e prezioso, che il repertorio qualifica giustamente come la fonte meno sospetta di costruzione difensiva quanto alle intenzioni, con il limite dichiarato che i comunicati sono atti di propaganda e non di confessione. La risalita non lo riduce e ne conferma l'autonomia rispetto a tutti gli altri.</w:t>
      </w:r>
    </w:p>
    <w:p>
      <w:pPr>
        <w:spacing w:line="276" w:lineRule="auto" w:after="120"/>
        <w:ind w:firstLine="425"/>
        <w:jc w:val="both"/>
      </w:pPr>
      <w:r>
        <w:rPr>
          <w:rFonts w:ascii="Times New Roman" w:hAnsi="Times New Roman" w:cs="Times New Roman" w:eastAsia="Times New Roman"/>
          <w:b w:val="0"/>
          <w:sz w:val="24"/>
        </w:rPr>
        <w:t>Settimo nucleo, il dichiarativo. Dissociati e collaboratori. Il repertorio lo qualifica originario e interessato, con interesse variabile nel tempo, ed eleva il grado in caso di convergenza fra dichiaranti con interessi divergenti. La risalita vi appone una cautela che il repertorio non reca e che va aggiunta. Due dichiaranti che abbiano appreso il medesimo fatto dal medesimo terzo non sono due catene, quale che sia la divergenza dei loro interessi. La divergenza degli interessi controlla la sincerità; non controlla l'indipendenza. Sono due proprietà distinte e la regola del repertorio, come è formulata, le confonde: essa impiega un controllo di sincerità per fondare un incremento che presuppone indipendenza. La regola va integrata, e l'integrazione è iscritta nella Parte settima.</w:t>
      </w:r>
    </w:p>
    <w:p>
      <w:pPr>
        <w:spacing w:line="276" w:lineRule="auto" w:after="120"/>
        <w:ind w:firstLine="425"/>
        <w:jc w:val="both"/>
      </w:pPr>
      <w:r>
        <w:rPr>
          <w:rFonts w:ascii="Times New Roman" w:hAnsi="Times New Roman" w:cs="Times New Roman" w:eastAsia="Times New Roman"/>
          <w:b w:val="0"/>
          <w:sz w:val="24"/>
        </w:rPr>
        <w:t>Ottavo nucleo, il moroteo. Gli scritti di Aldo Moro, le lettere della prigionia, il memoriale nella doppia tradizione dei due rinvenimenti. Qui la risalita produce un risultato che va detto per intero e senza consolazioni. Il repertorio dichiara derivati i materiali del primo rinvenimento, essendo trascrizioni operate dai detentori, e derivati quelli del secondo, essendo fotocopie; e dichiara che gli originali manoscritti sarebbero originari se ritrovati. Ne segue che il nucleo più citato dell'intera vicenda non possiede, allo stato, alcuna catena originaria quanto alla fedeltà del testo, e ne possiede una piena quanto al fatto materiale del rinvenimento. Due proposizioni contigue, due gradi diversi: è l'applicazione della regola per cui il grado si appone all'enunciato e non all'argomento, e questo è il luogo del corpus nel quale essa opera con la maggiore ampiezza di effetti.</w:t>
      </w:r>
    </w:p>
    <w:p>
      <w:pPr>
        <w:spacing w:line="276" w:lineRule="auto" w:after="120"/>
        <w:ind w:firstLine="425"/>
        <w:jc w:val="both"/>
      </w:pPr>
      <w:r>
        <w:rPr>
          <w:rFonts w:ascii="Times New Roman" w:hAnsi="Times New Roman" w:cs="Times New Roman" w:eastAsia="Times New Roman"/>
          <w:b w:val="0"/>
          <w:sz w:val="24"/>
        </w:rPr>
        <w:t>Nono nucleo, l'amministrativo e normativo. Leggi, decreti, atti parlamentari, accordi programmatici, dati elettorali e statistici ufficiali. Catene singole, originarie, e per la loro natura non bisognose di convergenza alcuna: il testo di una legge è attestato dalla legge. Il repertorio conferisce loro il grado massimo singolarmente, e lo fa correttamente.</w:t>
      </w:r>
    </w:p>
    <w:p>
      <w:pPr>
        <w:spacing w:line="276" w:lineRule="auto" w:after="120"/>
        <w:ind w:firstLine="425"/>
        <w:jc w:val="both"/>
      </w:pPr>
      <w:r>
        <w:rPr>
          <w:rFonts w:ascii="Times New Roman" w:hAnsi="Times New Roman" w:cs="Times New Roman" w:eastAsia="Times New Roman"/>
          <w:b w:val="0"/>
          <w:sz w:val="24"/>
        </w:rPr>
        <w:t>Decimo nucleo, l'estero. Archivi diplomatici declassificati, archivi dei regimi caduti, stime di apparati analitici stranieri. Il repertorio vi appone la distinzione più esatta dell'intero inventario e la si ripete qui perché la sua violazione è, per dichiarazione del repertorio medesimo, l'errore più frequente nell'uso di questa classe di materiali: grado massimo quanto a ciò che un apparato riteneva in una data determinata, grado minimo quanto ai fatti del mondo che quelle stime asseriscono, salvo riscontro autonomo. Una stima di intelligence è una fonte piena sullo stato di una valutazione e una fonte debolissima sullo stato delle cose.</w:t>
      </w:r>
    </w:p>
    <w:p>
      <w:pPr>
        <w:spacing w:line="276" w:lineRule="auto" w:after="120"/>
        <w:ind w:firstLine="425"/>
        <w:jc w:val="both"/>
      </w:pPr>
      <w:r>
        <w:rPr>
          <w:rFonts w:ascii="Times New Roman" w:hAnsi="Times New Roman" w:cs="Times New Roman" w:eastAsia="Times New Roman"/>
          <w:b w:val="0"/>
          <w:sz w:val="24"/>
        </w:rPr>
        <w:t>Undicesimo nucleo, il dottrinale. Letteratura epistemologica, teoria delle reti, teoria dei sistemi sociali, criminologia analitica, teoria della probabilità soggettivistica. Il repertorio dichiara che questo nucleo non conferisce grado alcuno sui fatti, poiché fornisce strumenti e non evidenze. La risalita non lo tocca e lo enumera per completezza, affinché nessuno lo computi.</w:t>
      </w:r>
    </w:p>
    <w:p>
      <w:pPr>
        <w:spacing w:line="276" w:lineRule="auto" w:after="120"/>
        <w:ind w:firstLine="425"/>
        <w:jc w:val="both"/>
      </w:pPr>
      <w:r>
        <w:rPr>
          <w:rFonts w:ascii="Times New Roman" w:hAnsi="Times New Roman" w:cs="Times New Roman" w:eastAsia="Times New Roman"/>
          <w:b w:val="0"/>
          <w:sz w:val="24"/>
        </w:rPr>
        <w:t>Undici nuclei per centosessantuno voci originarie. Il rapporto non è, di per sé, una debolezza dell'opera: è la struttura del campo. In una materia nella quale gli atti furono prodotti in una stagione breve da un numero ristretto di uffici, la concentrazione delle catene è un dato del mondo e non un difetto del ricercatore. Ciò che è difetto è non averla misurata prima di computare convergenze; e il Blocco mirato numero cinque, il quale aveva accertata la concentrazione e ne aveva tratto che la collassatura era prioritaria, dimostra che il difetto non fu di percezione ma di esecuzione.</w:t>
      </w:r>
    </w:p>
    <w:p>
      <w:pPr>
        <w:spacing w:line="276" w:lineRule="auto" w:after="120" w:before="240"/>
        <w:ind w:firstLine="0"/>
        <w:jc w:val="left"/>
      </w:pPr>
      <w:r>
        <w:rPr>
          <w:rFonts w:ascii="Times New Roman" w:hAnsi="Times New Roman" w:cs="Times New Roman" w:eastAsia="Times New Roman"/>
          <w:b/>
          <w:sz w:val="24"/>
        </w:rPr>
        <w:t>Parte quarta — Il caso di collasso accertato, e la conseguenza sull'apparato</w:t>
      </w:r>
    </w:p>
    <w:p>
      <w:pPr>
        <w:spacing w:line="276" w:lineRule="auto" w:after="120"/>
        <w:ind w:firstLine="425"/>
        <w:jc w:val="both"/>
      </w:pPr>
      <w:r>
        <w:rPr>
          <w:rFonts w:ascii="Times New Roman" w:hAnsi="Times New Roman" w:cs="Times New Roman" w:eastAsia="Times New Roman"/>
          <w:b w:val="0"/>
          <w:sz w:val="24"/>
        </w:rPr>
        <w:t>L'opera espone, a ridosso della propria enunciazione dello standard, un caso concreto scelto per mostrare il criterio all'opera, e lo introduce osservando che è nell'applicazione che un criterio rivela la propria consistenza. Si riprende quel caso e lo si sottopone alla risalita, poiché un criterio si prova sul caso che chi lo enuncia ha scelto per esibirlo, e non su un caso scelto da altri per abbatterlo.</w:t>
      </w:r>
    </w:p>
    <w:p>
      <w:pPr>
        <w:spacing w:line="276" w:lineRule="auto" w:after="120"/>
        <w:ind w:firstLine="425"/>
        <w:jc w:val="both"/>
      </w:pPr>
      <w:r>
        <w:rPr>
          <w:rFonts w:ascii="Times New Roman" w:hAnsi="Times New Roman" w:cs="Times New Roman" w:eastAsia="Times New Roman"/>
          <w:b w:val="0"/>
          <w:sz w:val="24"/>
        </w:rPr>
        <w:t>L'affermazione è che il maresciallo comandante della scorta avesse sollecitato una vettura blindata. Le fonti dichiarate sono tre: le testimonianze di familiari e colleghi rese in sede istituzionale; le risultanze delle commissioni che hanno acquisito e valutato tali testimonianze; la documentazione amministrativa sullo stato del parco veicoli e sulle richieste in essere. L'opera osserva che le tre sono di natura eterogenea — testimoniale, istituzionale valutativa, documentale amministrativa — e che non derivano l'una dall'altra, e conferisce il grado massimo quanto alla circostanza della sollecitazione.</w:t>
      </w:r>
    </w:p>
    <w:p>
      <w:pPr>
        <w:spacing w:line="276" w:lineRule="auto" w:after="120"/>
        <w:ind w:firstLine="425"/>
        <w:jc w:val="both"/>
      </w:pPr>
      <w:r>
        <w:rPr>
          <w:rFonts w:ascii="Times New Roman" w:hAnsi="Times New Roman" w:cs="Times New Roman" w:eastAsia="Times New Roman"/>
          <w:b w:val="0"/>
          <w:sz w:val="24"/>
        </w:rPr>
        <w:t>La risalita accerta altro, e lo accerta sulla base della descrizione che l'opera medesima fornisce delle proprie fonti. La seconda fonte è, per dichiarazione testuale, l'acquisizione e la valutazione della prima. Un organo che acquisisca una testimonianza e la valuti produce catena propria quanto alla valutazione, che è un giudizio suo e non di altri, e non ne produce alcuna quanto al fatto testimoniato, del quale resta fonte il testimone. L'osservazione dell'opera secondo cui le tre fonti non derivano l'una dall'altra è dunque inesatta quanto alla seconda: essa deriva dalla prima per il rapporto più stretto che vi sia fra due fonti, che è la detenzione della prima da parte della seconda.</w:t>
      </w:r>
    </w:p>
    <w:p>
      <w:pPr>
        <w:spacing w:line="276" w:lineRule="auto" w:after="120"/>
        <w:ind w:firstLine="425"/>
        <w:jc w:val="both"/>
      </w:pPr>
      <w:r>
        <w:rPr>
          <w:rFonts w:ascii="Times New Roman" w:hAnsi="Times New Roman" w:cs="Times New Roman" w:eastAsia="Times New Roman"/>
          <w:b w:val="0"/>
          <w:sz w:val="24"/>
        </w:rPr>
        <w:t>Le tre fonti si riducono pertanto a due catene: la testimoniale e l'amministrativa documentale. Due catene indipendenti di natura eterogenea integrano, per lo standard medesimo, il grado intermedio e non il grado massimo. L'affermazione va riportata al grado intermedio quanto alla circostanza della sollecitazione, e vi resta finché una terza catena non sia acquisita. Si osservi che tale catena è determinata e cercabile: sarebbe l'atto di riscontro formato presso l'ufficio destinatario della sollecitazione, il quale ha protocollo, data ed emittente. Essa non figurava in tavola. Vi si iscrive.</w:t>
      </w:r>
    </w:p>
    <w:p>
      <w:pPr>
        <w:spacing w:line="276" w:lineRule="auto" w:after="120"/>
        <w:ind w:firstLine="425"/>
        <w:jc w:val="both"/>
      </w:pPr>
      <w:r>
        <w:rPr>
          <w:rFonts w:ascii="Times New Roman" w:hAnsi="Times New Roman" w:cs="Times New Roman" w:eastAsia="Times New Roman"/>
          <w:b w:val="0"/>
          <w:sz w:val="24"/>
        </w:rPr>
        <w:t>Si dichiara altresì ciò che il collasso non tocca, poiché il perimetro va detto ogni volta. Non è toccata la proposizione contigua, che l'opera colloca già al grado minimo, secondo la quale la sollecitazione sarebbe stata deliberatamente ignorata: essa non muta stato, e resta al grado che aveva. Non è toccata la circostanza materiale della dotazione del dispositivo di protezione, sorretta da catena amministrativa propria.</w:t>
      </w:r>
    </w:p>
    <w:p>
      <w:pPr>
        <w:spacing w:line="276" w:lineRule="auto" w:after="120" w:before="240"/>
        <w:ind w:firstLine="0"/>
        <w:jc w:val="left"/>
      </w:pPr>
      <w:r>
        <w:rPr>
          <w:rFonts w:ascii="Times New Roman" w:hAnsi="Times New Roman" w:cs="Times New Roman" w:eastAsia="Times New Roman"/>
          <w:b/>
          <w:sz w:val="24"/>
        </w:rPr>
        <w:t>La correzione del falsificatore</w:t>
      </w:r>
    </w:p>
    <w:p>
      <w:pPr>
        <w:spacing w:line="276" w:lineRule="auto" w:after="120"/>
        <w:ind w:firstLine="425"/>
        <w:jc w:val="both"/>
      </w:pPr>
      <w:r>
        <w:rPr>
          <w:rFonts w:ascii="Times New Roman" w:hAnsi="Times New Roman" w:cs="Times New Roman" w:eastAsia="Times New Roman"/>
          <w:b w:val="0"/>
          <w:sz w:val="24"/>
        </w:rPr>
        <w:t>Dal caso discende una conseguenza sull'apparato, e va enunciata senza attenuazioni perché è la parte del presente atto che opera contro chi lo scrive.</w:t>
      </w:r>
    </w:p>
    <w:p>
      <w:pPr>
        <w:spacing w:line="276" w:lineRule="auto" w:after="120"/>
        <w:ind w:firstLine="425"/>
        <w:jc w:val="both"/>
      </w:pPr>
      <w:r>
        <w:rPr>
          <w:rFonts w:ascii="Times New Roman" w:hAnsi="Times New Roman" w:cs="Times New Roman" w:eastAsia="Times New Roman"/>
          <w:b w:val="0"/>
          <w:sz w:val="24"/>
        </w:rPr>
        <w:t>L'opera ha dichiarato, fra i propri falsificatori, che la tesi dell'assegnazione corretta dei gradi cade se si individua un'affermazione classificata al grado massimo le cui tre fonti risultino, alla collassatura genealogica, riducibili a una sola. La formulazione è quella del Blocco mirato numero cinquecentosessantasette, ed è accompagnata dalla dichiarazione che la ricerca di tale caso è l'esercizio che l'opera raccomanda al lettore per primo.</w:t>
      </w:r>
    </w:p>
    <w:p>
      <w:pPr>
        <w:spacing w:line="276" w:lineRule="auto" w:after="120"/>
        <w:ind w:firstLine="425"/>
        <w:jc w:val="both"/>
      </w:pPr>
      <w:r>
        <w:rPr>
          <w:rFonts w:ascii="Times New Roman" w:hAnsi="Times New Roman" w:cs="Times New Roman" w:eastAsia="Times New Roman"/>
          <w:b w:val="0"/>
          <w:sz w:val="24"/>
        </w:rPr>
        <w:t>Il caso qui esaminato non aziona quel falsificatore. Le tre fonti non si riducono a una: si riducono a due. Il falsificatore, come è formulato, scatta soltanto al collasso totale e lascia intatto ogni collasso parziale.</w:t>
      </w:r>
    </w:p>
    <w:p>
      <w:pPr>
        <w:spacing w:line="276" w:lineRule="auto" w:after="120"/>
        <w:ind w:firstLine="425"/>
        <w:jc w:val="both"/>
      </w:pPr>
      <w:r>
        <w:rPr>
          <w:rFonts w:ascii="Times New Roman" w:hAnsi="Times New Roman" w:cs="Times New Roman" w:eastAsia="Times New Roman"/>
          <w:b w:val="0"/>
          <w:sz w:val="24"/>
        </w:rPr>
        <w:t>Ma il collasso parziale è il caso frequente e il collasso totale è il caso raro, e la ragione è di struttura: perché tre fonti si riducano a una occorre che tutte e tre discendano dal medesimo atto, mentre perché si riducano a due basta che due vi discendano. Un falsificatore calibrato sul caso raro non falsifica: assolve. E poiché lo standard che esso protegge richiede tre catene, la condizione di caduta deve essere formulata sulla soglia dello standard e non al di sotto di essa; altrimenti essa protegge non lo standard ma chi lo applica.</w:t>
      </w:r>
    </w:p>
    <w:p>
      <w:pPr>
        <w:spacing w:line="276" w:lineRule="auto" w:after="120"/>
        <w:ind w:firstLine="425"/>
        <w:jc w:val="both"/>
      </w:pPr>
      <w:r>
        <w:rPr>
          <w:rFonts w:ascii="Times New Roman" w:hAnsi="Times New Roman" w:cs="Times New Roman" w:eastAsia="Times New Roman"/>
          <w:b w:val="0"/>
          <w:sz w:val="24"/>
        </w:rPr>
        <w:t>Si dichiara pertanto la correzione, secondo la disciplina che impone di dichiarare e non di applicare in silenzio. Il falsificatore anteriore resta leggibile nel proprio luogo, come strato della propria epoca, e non è scalpellato. Accanto ad esso vale, dalla presente appendice in avanti, la formulazione seguente: la tesi dell'assegnazione corretta dei gradi cade se si individua un'affermazione classificata al grado massimo per convergenza le cui fonti risultino, alla risalita, riducibili a meno di tre catene indipendenti.</w:t>
      </w:r>
    </w:p>
    <w:p>
      <w:pPr>
        <w:spacing w:line="276" w:lineRule="auto" w:after="120"/>
        <w:ind w:firstLine="425"/>
        <w:jc w:val="both"/>
      </w:pPr>
      <w:r>
        <w:rPr>
          <w:rFonts w:ascii="Times New Roman" w:hAnsi="Times New Roman" w:cs="Times New Roman" w:eastAsia="Times New Roman"/>
          <w:b w:val="0"/>
          <w:sz w:val="24"/>
        </w:rPr>
        <w:t>Con questa formulazione il falsificatore è azionato dal caso qui esaminato, ed è azionato dall'opera contro sé stessa. Si registra che è la prima falsificazione che l'apparato produce sul proprio operato per via di verifica interna, e che l'ha prodotta soltanto dopo che la propria formulazione anteriore era stata resa più severa. Se ne trae, per l'uso futuro, che un falsificatore il quale non scatti mai non è prova di correttezza: è indizio di taratura compiacente, e va riesaminato nella sua formulazione prima che nel suo esito.</w:t>
      </w:r>
    </w:p>
    <w:p>
      <w:pPr>
        <w:spacing w:line="276" w:lineRule="auto" w:after="120" w:before="240"/>
        <w:ind w:firstLine="0"/>
        <w:jc w:val="left"/>
      </w:pPr>
      <w:r>
        <w:rPr>
          <w:rFonts w:ascii="Times New Roman" w:hAnsi="Times New Roman" w:cs="Times New Roman" w:eastAsia="Times New Roman"/>
          <w:b/>
          <w:sz w:val="24"/>
        </w:rPr>
        <w:t>Parte quinta — Le classi che la risalita non tocca</w:t>
      </w:r>
    </w:p>
    <w:p>
      <w:pPr>
        <w:spacing w:line="276" w:lineRule="auto" w:after="120"/>
        <w:ind w:firstLine="425"/>
        <w:jc w:val="both"/>
      </w:pPr>
      <w:r>
        <w:rPr>
          <w:rFonts w:ascii="Times New Roman" w:hAnsi="Times New Roman" w:cs="Times New Roman" w:eastAsia="Times New Roman"/>
          <w:b w:val="0"/>
          <w:sz w:val="24"/>
        </w:rPr>
        <w:t>Si dichiara espressamente, perché l'ampiezza dell'operazione non sia letta oltre il proprio perimetro, che nessuna delle disposizioni qui adottate incide sulle classi seguenti.</w:t>
      </w:r>
    </w:p>
    <w:p>
      <w:pPr>
        <w:spacing w:line="276" w:lineRule="auto" w:after="120"/>
        <w:ind w:firstLine="425"/>
        <w:jc w:val="both"/>
      </w:pPr>
      <w:r>
        <w:rPr>
          <w:rFonts w:ascii="Times New Roman" w:hAnsi="Times New Roman" w:cs="Times New Roman" w:eastAsia="Times New Roman"/>
          <w:b w:val="0"/>
          <w:sz w:val="24"/>
        </w:rPr>
        <w:t>Non incide sul grado massimo conferito per attestazione diretta. Il testo di un documento è attestato dal documento; il testo di una legge dalla legge; la data di un atto dall'atto; l'esito di un rilievo dal rilievo, entro il perimetro tecnico della disciplina che lo ha eseguito. Queste proposizioni non poggiano su convergenza alcuna, e nessuna risalita può ridurle, poiché non vi è nulla da collassare dove la catena è una e dichiarata tale. Il repertorio conferisce loro il grado massimo singolarmente, e lo fa a ragione. Ottocentosessantacinque paragrafi recanti il grado massimo non invocano convergenza alcuna, e la grande maggioranza di essi appartiene a questa classe.</w:t>
      </w:r>
    </w:p>
    <w:p>
      <w:pPr>
        <w:spacing w:line="276" w:lineRule="auto" w:after="120"/>
        <w:ind w:firstLine="425"/>
        <w:jc w:val="both"/>
      </w:pPr>
      <w:r>
        <w:rPr>
          <w:rFonts w:ascii="Times New Roman" w:hAnsi="Times New Roman" w:cs="Times New Roman" w:eastAsia="Times New Roman"/>
          <w:b w:val="0"/>
          <w:sz w:val="24"/>
        </w:rPr>
        <w:t>Non incide sul grado conferito per giudicato, per la ragione già detta: la triangolazione fu compiuta in sede giurisdizionale e sotto contraddittorio, e il computo non è dell'opera.</w:t>
      </w:r>
    </w:p>
    <w:p>
      <w:pPr>
        <w:spacing w:line="276" w:lineRule="auto" w:after="120"/>
        <w:ind w:firstLine="425"/>
        <w:jc w:val="both"/>
      </w:pPr>
      <w:r>
        <w:rPr>
          <w:rFonts w:ascii="Times New Roman" w:hAnsi="Times New Roman" w:cs="Times New Roman" w:eastAsia="Times New Roman"/>
          <w:b w:val="0"/>
          <w:sz w:val="24"/>
        </w:rPr>
        <w:t>Non incide sugli Stati Zero e sulle constatazioni negative. Sessanta paragrafi conferiscono il grado massimo quanto alla constatazione sullo stato degli atti, cioè quanto al fatto che una ricerca sia stata condotta e non abbia reperito. Una constatazione negativa non ha genealogia di convergenza: ha intensità di ricerca. Essa si verifica con un'operazione diversa dalla presente, che è la misura dell'intensità e dell'ampiezza con le quali si è cercato, e quella verifica resta da compiere. Si iscrive in tavola.</w:t>
      </w:r>
    </w:p>
    <w:p>
      <w:pPr>
        <w:spacing w:line="276" w:lineRule="auto" w:after="120"/>
        <w:ind w:firstLine="425"/>
        <w:jc w:val="both"/>
      </w:pPr>
      <w:r>
        <w:rPr>
          <w:rFonts w:ascii="Times New Roman" w:hAnsi="Times New Roman" w:cs="Times New Roman" w:eastAsia="Times New Roman"/>
          <w:b w:val="0"/>
          <w:sz w:val="24"/>
        </w:rPr>
        <w:t>Non incide su alcuna proposizione sorretta da catena documentale propria, ancorché essa figuri in prossimità di proposizioni toccate. La collocazione non è mai, di per sé, evidenza, e non lo è né in favore né contro. La disposizione è la medesima adottata dall'atto di declassamento del quindici agosto e vale qui per identità di ragione.</w:t>
      </w:r>
    </w:p>
    <w:p>
      <w:pPr>
        <w:spacing w:line="276" w:lineRule="auto" w:after="120" w:before="240"/>
        <w:ind w:firstLine="0"/>
        <w:jc w:val="left"/>
      </w:pPr>
      <w:r>
        <w:rPr>
          <w:rFonts w:ascii="Times New Roman" w:hAnsi="Times New Roman" w:cs="Times New Roman" w:eastAsia="Times New Roman"/>
          <w:b/>
          <w:sz w:val="24"/>
        </w:rPr>
        <w:t>Parte sesta — Ciò che la risalita non ha potuto compiere, e la ragione</w:t>
      </w:r>
    </w:p>
    <w:p>
      <w:pPr>
        <w:spacing w:line="276" w:lineRule="auto" w:after="120"/>
        <w:ind w:firstLine="425"/>
        <w:jc w:val="both"/>
      </w:pPr>
      <w:r>
        <w:rPr>
          <w:rFonts w:ascii="Times New Roman" w:hAnsi="Times New Roman" w:cs="Times New Roman" w:eastAsia="Times New Roman"/>
          <w:b w:val="0"/>
          <w:sz w:val="24"/>
        </w:rPr>
        <w:t>Delle sessantaquattro proposizioni soggette alla verifica, trentacinque nominano almeno una classe di fonte e due designano qualcosa che si avvicini a un atto determinato. Per cinquantanove di esse la risalita si arresta prima di cominciare, e non per difetto di archivio.</w:t>
      </w:r>
    </w:p>
    <w:p>
      <w:pPr>
        <w:spacing w:line="276" w:lineRule="auto" w:after="120"/>
        <w:ind w:firstLine="425"/>
        <w:jc w:val="both"/>
      </w:pPr>
      <w:r>
        <w:rPr>
          <w:rFonts w:ascii="Times New Roman" w:hAnsi="Times New Roman" w:cs="Times New Roman" w:eastAsia="Times New Roman"/>
          <w:b w:val="0"/>
          <w:sz w:val="24"/>
        </w:rPr>
        <w:t>La ragione è nell'opera e va nominata. L'opera designa per funzione, e la designazione per funzione fu adottata per le persone e per una ragione onorevole: non attribuire a un nome una condotta che le fonti non accertino. Quella regola è stata estesa alle fonti. Si legge dunque, nei blocchi soggetti alla verifica, le risultanze delle commissioni, gli atti sulla direzione delle ricerche, la documentazione amministrativa sullo stato del parco veicoli. Sono classi, non atti. Una classe non si risale: si risale un atto, il quale ha un protocollo, una data e un ufficio emittente.</w:t>
      </w:r>
    </w:p>
    <w:p>
      <w:pPr>
        <w:spacing w:line="276" w:lineRule="auto" w:after="120"/>
        <w:ind w:firstLine="425"/>
        <w:jc w:val="both"/>
      </w:pPr>
      <w:r>
        <w:rPr>
          <w:rFonts w:ascii="Times New Roman" w:hAnsi="Times New Roman" w:cs="Times New Roman" w:eastAsia="Times New Roman"/>
          <w:b w:val="0"/>
          <w:sz w:val="24"/>
        </w:rPr>
        <w:t>Il costo va dichiarato per intero, perché è alto e perché non era stato previsto. La designazione per funzione, applicata alle fonti, rende la verifica genealogica impossibile a chiunque, autore compreso. E poiché la verifica genealogica è la seconda delle cinque operazioni che il Blocco mirato numero centouno raccomanda al lettore per controllare l'opera anziché crederle, ne segue che l'opera ha raccomandato al proprio lettore un'operazione che essa stessa gli ha impedita. Non per volontà di sottrarsi al controllo: per estensione impropria di una regola oltre il campo per il quale era stata fatta. È il genere di errore che non si scopre applicando la regola, ma soltanto tentando di eseguire ciò che la regola rende impossibile.</w:t>
      </w:r>
    </w:p>
    <w:p>
      <w:pPr>
        <w:spacing w:line="276" w:lineRule="auto" w:after="120"/>
        <w:ind w:firstLine="425"/>
        <w:jc w:val="both"/>
      </w:pPr>
      <w:r>
        <w:rPr>
          <w:rFonts w:ascii="Times New Roman" w:hAnsi="Times New Roman" w:cs="Times New Roman" w:eastAsia="Times New Roman"/>
          <w:b w:val="0"/>
          <w:sz w:val="24"/>
        </w:rPr>
        <w:t>Si enuncia la disposizione che ne discende, e vale dalla presente appendice in avanti. Le persone si designano per funzione ove la funzione basti a identificare l'atto. Le fonti si designano per atto sempre: protocollo, data, ufficio emittente, segnatura archivistica ove disponibile. Le fonti non hanno dignità da proteggere né riservatezza da tutelare; hanno soltanto una verificabilità da consentire. La regola della funzione fu fatta per gli uomini e non si applica alle carte.</w:t>
      </w:r>
    </w:p>
    <w:p>
      <w:pPr>
        <w:spacing w:line="276" w:lineRule="auto" w:after="120"/>
        <w:ind w:firstLine="425"/>
        <w:jc w:val="both"/>
      </w:pPr>
      <w:r>
        <w:rPr>
          <w:rFonts w:ascii="Times New Roman" w:hAnsi="Times New Roman" w:cs="Times New Roman" w:eastAsia="Times New Roman"/>
          <w:b w:val="0"/>
          <w:sz w:val="24"/>
        </w:rPr>
        <w:t>Si dichiara Stato Zero sulla verifica genealogica di cinquantanove delle sessantaquattro proposizioni soggette. Lo si dichiara con la precisione che la disciplina impone: la ricerca è stata condotta, la sede interrogata è il corpus dell'opera, l'esito è il non reperimento della designazione per atto, e la causa del non reperimento è interna all'opera e non esterna. Si osservi che questo Stato Zero ha una condizione di chiusura determinata e insolita fra quelle censite: non un accesso archivistico, ma un'operazione redazionale sul corpus, laboriosa e interamente eseguibile con i materiali già posseduti.</w:t>
      </w:r>
    </w:p>
    <w:p>
      <w:pPr>
        <w:spacing w:line="276" w:lineRule="auto" w:after="120" w:before="240"/>
        <w:ind w:firstLine="0"/>
        <w:jc w:val="left"/>
      </w:pPr>
      <w:r>
        <w:rPr>
          <w:rFonts w:ascii="Times New Roman" w:hAnsi="Times New Roman" w:cs="Times New Roman" w:eastAsia="Times New Roman"/>
          <w:b/>
          <w:sz w:val="24"/>
        </w:rPr>
        <w:t>Parte settima — La regola della risalita, per l'uso futuro</w:t>
      </w:r>
    </w:p>
    <w:p>
      <w:pPr>
        <w:spacing w:line="276" w:lineRule="auto" w:after="120"/>
        <w:ind w:firstLine="425"/>
        <w:jc w:val="both"/>
      </w:pPr>
      <w:r>
        <w:rPr>
          <w:rFonts w:ascii="Times New Roman" w:hAnsi="Times New Roman" w:cs="Times New Roman" w:eastAsia="Times New Roman"/>
          <w:b w:val="0"/>
          <w:sz w:val="24"/>
        </w:rPr>
        <w:t>Dalla verifica si traggono sei regole, che si enunciano per l'uso futuro e che valgono contro chi le scrive.</w:t>
      </w:r>
    </w:p>
    <w:p>
      <w:pPr>
        <w:spacing w:line="276" w:lineRule="auto" w:after="120"/>
        <w:ind w:firstLine="425"/>
        <w:jc w:val="both"/>
      </w:pPr>
      <w:r>
        <w:rPr>
          <w:rFonts w:ascii="Times New Roman" w:hAnsi="Times New Roman" w:cs="Times New Roman" w:eastAsia="Times New Roman"/>
          <w:b w:val="0"/>
          <w:sz w:val="24"/>
        </w:rPr>
        <w:t>Prima. Soltanto la produzione genera catena. L'acquisizione e l'esposizione non ne generano, e chi le computi come catene sovrastima nella sola direzione che gli conviene.</w:t>
      </w:r>
    </w:p>
    <w:p>
      <w:pPr>
        <w:spacing w:line="276" w:lineRule="auto" w:after="120"/>
        <w:ind w:firstLine="425"/>
        <w:jc w:val="both"/>
      </w:pPr>
      <w:r>
        <w:rPr>
          <w:rFonts w:ascii="Times New Roman" w:hAnsi="Times New Roman" w:cs="Times New Roman" w:eastAsia="Times New Roman"/>
          <w:b w:val="0"/>
          <w:sz w:val="24"/>
        </w:rPr>
        <w:t>Seconda. L'eterogeneità della natura non surroga l'indipendenza della genealogia. Le due condizioni si verificano separatamente, e quella meno visibile si verifica per prima.</w:t>
      </w:r>
    </w:p>
    <w:p>
      <w:pPr>
        <w:spacing w:line="276" w:lineRule="auto" w:after="120"/>
        <w:ind w:firstLine="425"/>
        <w:jc w:val="both"/>
      </w:pPr>
      <w:r>
        <w:rPr>
          <w:rFonts w:ascii="Times New Roman" w:hAnsi="Times New Roman" w:cs="Times New Roman" w:eastAsia="Times New Roman"/>
          <w:b w:val="0"/>
          <w:sz w:val="24"/>
        </w:rPr>
        <w:t>Terza. Due dichiaranti che abbiano appreso il medesimo fatto dal medesimo terzo sono una catena sola, quale che sia la divergenza dei loro interessi. La divergenza degli interessi controlla la sincerità e non l'indipendenza, e impiegarla per fondare un incremento di grado significa impiegare un controllo per ciò che esso non controlla.</w:t>
      </w:r>
    </w:p>
    <w:p>
      <w:pPr>
        <w:spacing w:line="276" w:lineRule="auto" w:after="120"/>
        <w:ind w:firstLine="425"/>
        <w:jc w:val="both"/>
      </w:pPr>
      <w:r>
        <w:rPr>
          <w:rFonts w:ascii="Times New Roman" w:hAnsi="Times New Roman" w:cs="Times New Roman" w:eastAsia="Times New Roman"/>
          <w:b w:val="0"/>
          <w:sz w:val="24"/>
        </w:rPr>
        <w:t>Quarta. L'indipendenza fra due atti dei quali il secondo operi sul materiale descritto dal primo è parziale e asimmetrica, e va dichiarata tale: il vizio del primo si propaga al secondo e non viceversa.</w:t>
      </w:r>
    </w:p>
    <w:p>
      <w:pPr>
        <w:spacing w:line="276" w:lineRule="auto" w:after="120"/>
        <w:ind w:firstLine="425"/>
        <w:jc w:val="both"/>
      </w:pPr>
      <w:r>
        <w:rPr>
          <w:rFonts w:ascii="Times New Roman" w:hAnsi="Times New Roman" w:cs="Times New Roman" w:eastAsia="Times New Roman"/>
          <w:b w:val="0"/>
          <w:sz w:val="24"/>
        </w:rPr>
        <w:t>Quinta. Nessuna proposizione entra in un computo di convergenza prima che le proprie fonti siano state designate per atto. Dove la designazione manca, il computo non è debole: è impossibile, e il grado che ne risulterebbe non è basso ma indeterminato. Fra debole e indeterminato corre la medesima differenza che corre fra non reperito e non accessibile, e la confusione fra i due produce i medesimi danni.</w:t>
      </w:r>
    </w:p>
    <w:p>
      <w:pPr>
        <w:spacing w:line="276" w:lineRule="auto" w:after="120"/>
        <w:ind w:firstLine="425"/>
        <w:jc w:val="both"/>
      </w:pPr>
      <w:r>
        <w:rPr>
          <w:rFonts w:ascii="Times New Roman" w:hAnsi="Times New Roman" w:cs="Times New Roman" w:eastAsia="Times New Roman"/>
          <w:b w:val="0"/>
          <w:sz w:val="24"/>
        </w:rPr>
        <w:t>Sesta. Un falsificatore va tarato sulla soglia dello standard che protegge. Tarato al di sotto di essa, esso non protegge lo standard: protegge chi lo applica, e la sua mancata attivazione viene scambiata per prova di correttezza.</w:t>
      </w:r>
    </w:p>
    <w:p>
      <w:pPr>
        <w:spacing w:line="276" w:lineRule="auto" w:after="120" w:before="240"/>
        <w:ind w:firstLine="0"/>
        <w:jc w:val="left"/>
      </w:pPr>
      <w:r>
        <w:rPr>
          <w:rFonts w:ascii="Times New Roman" w:hAnsi="Times New Roman" w:cs="Times New Roman" w:eastAsia="Times New Roman"/>
          <w:b/>
          <w:sz w:val="24"/>
        </w:rPr>
        <w:t>Parte ottava — Conseguenze sulla tavola delle acquisizioni necessarie</w:t>
      </w:r>
    </w:p>
    <w:p>
      <w:pPr>
        <w:spacing w:line="276" w:lineRule="auto" w:after="120"/>
        <w:ind w:firstLine="425"/>
        <w:jc w:val="both"/>
      </w:pPr>
      <w:r>
        <w:rPr>
          <w:rFonts w:ascii="Times New Roman" w:hAnsi="Times New Roman" w:cs="Times New Roman" w:eastAsia="Times New Roman"/>
          <w:b w:val="0"/>
          <w:sz w:val="24"/>
        </w:rPr>
        <w:t>La Voce settima non si chiude. Muta stato, e muta classe, e le due mutazioni vanno registrate separatamente.</w:t>
      </w:r>
    </w:p>
    <w:p>
      <w:pPr>
        <w:spacing w:line="276" w:lineRule="auto" w:after="120"/>
        <w:ind w:firstLine="425"/>
        <w:jc w:val="both"/>
      </w:pPr>
      <w:r>
        <w:rPr>
          <w:rFonts w:ascii="Times New Roman" w:hAnsi="Times New Roman" w:cs="Times New Roman" w:eastAsia="Times New Roman"/>
          <w:b w:val="0"/>
          <w:sz w:val="24"/>
        </w:rPr>
        <w:t>Muta stato: da non condotta a condotta parzialmente, con esito determinato per cinque delle sessantaquattro proposizioni soggette e Stato Zero dichiarato per cinquantanove. La sua chiusura richiede la designazione per atto delle fonti, che è operazione redazionale e non archivistica.</w:t>
      </w:r>
    </w:p>
    <w:p>
      <w:pPr>
        <w:spacing w:line="276" w:lineRule="auto" w:after="120"/>
        <w:ind w:firstLine="425"/>
        <w:jc w:val="both"/>
      </w:pPr>
      <w:r>
        <w:rPr>
          <w:rFonts w:ascii="Times New Roman" w:hAnsi="Times New Roman" w:cs="Times New Roman" w:eastAsia="Times New Roman"/>
          <w:b w:val="0"/>
          <w:sz w:val="24"/>
        </w:rPr>
        <w:t>Muta classe, e questa è la correzione che l'appendice prima impone di apportare al proprio periodo conclusivo. Quel periodo osservava che nessuna delle diciannove voci richiede una decisione metodologica e che tutte richiedono un accesso, e ne traeva che l'opera non è ferma per difetto di metodo ma davanti a porte di archivio. L'osservazione è vera per diciassette voci e falsa per due: la Voce settima non richiede accesso alcuno, e nemmeno la Voce nona, la quale prescrive la compilazione del repertorio delle denominazioni e si conduce interamente sul corpus. Delle diciannove voci, diciassette attendono una porta d'archivio e due attendevano soltanto che qualcuno le compisse. Una delle due è qui compiuta in parte. L'altra resta.</w:t>
      </w:r>
    </w:p>
    <w:p>
      <w:pPr>
        <w:spacing w:line="276" w:lineRule="auto" w:after="120"/>
        <w:ind w:firstLine="425"/>
        <w:jc w:val="both"/>
      </w:pPr>
      <w:r>
        <w:rPr>
          <w:rFonts w:ascii="Times New Roman" w:hAnsi="Times New Roman" w:cs="Times New Roman" w:eastAsia="Times New Roman"/>
          <w:b w:val="0"/>
          <w:sz w:val="24"/>
        </w:rPr>
        <w:t>La correzione è dichiarata e non applicata in silenzio: il testo dell'appendice prima resta leggibile nel proprio luogo e non è scalpellato, e la difformità fra esso e il presente atto è testimone della propria epoca.</w:t>
      </w:r>
    </w:p>
    <w:p>
      <w:pPr>
        <w:spacing w:line="276" w:lineRule="auto" w:after="120"/>
        <w:ind w:firstLine="425"/>
        <w:jc w:val="both"/>
      </w:pPr>
      <w:r>
        <w:rPr>
          <w:rFonts w:ascii="Times New Roman" w:hAnsi="Times New Roman" w:cs="Times New Roman" w:eastAsia="Times New Roman"/>
          <w:b w:val="0"/>
          <w:sz w:val="24"/>
        </w:rPr>
        <w:t>Si iscrivono inoltre in tavola tre voci nuove, ciascuna con oggetto, sede, condizione di chiusura e condizione di smentita, secondo la disciplina della tavola accresciuta.</w:t>
      </w:r>
    </w:p>
    <w:p>
      <w:pPr>
        <w:spacing w:line="276" w:lineRule="auto" w:after="120"/>
        <w:ind w:firstLine="425"/>
        <w:jc w:val="both"/>
      </w:pPr>
      <w:r>
        <w:rPr>
          <w:rFonts w:ascii="Times New Roman" w:hAnsi="Times New Roman" w:cs="Times New Roman" w:eastAsia="Times New Roman"/>
          <w:b w:val="0"/>
          <w:sz w:val="24"/>
        </w:rPr>
        <w:t>Voce ventesima — La designazione per atto delle fonti delle proposizioni soggette a computo di convergenza. Oggetto: sostituzione, per ciascuna delle sessantaquattro proposizioni che conferiscono il grado massimo per convergenza, della designazione per classe con la designazione per atto, recante protocollo, data, ufficio emittente e segnatura ove disponibile. Sede: il corpus dell'opera e le fonti già possedute. Chiusura: designazione per atto di tutte e sessantaquattro. Smentita: la constatazione che per una parte di esse la fonte non sia individuabile per atto neppure presso i materiali posseduti, nel qual caso quelle proposizioni non recano grado indeterminato ma vanno riportate al grado che la sola fonte designabile consente.</w:t>
      </w:r>
    </w:p>
    <w:p>
      <w:pPr>
        <w:spacing w:line="276" w:lineRule="auto" w:after="120"/>
        <w:ind w:firstLine="425"/>
        <w:jc w:val="both"/>
      </w:pPr>
      <w:r>
        <w:rPr>
          <w:rFonts w:ascii="Times New Roman" w:hAnsi="Times New Roman" w:cs="Times New Roman" w:eastAsia="Times New Roman"/>
          <w:b w:val="0"/>
          <w:sz w:val="24"/>
        </w:rPr>
        <w:t>Voce ventunesima — La misura dell'intensità di ricerca a sostegno delle constatazioni negative. Oggetto: per ciascuna delle sessanta proposizioni che conferiscono il grado massimo quanto alla constatazione sullo stato degli atti, la documentazione dell'ampiezza e della profondità della ricerca condotta, poiché una constatazione negativa vale quanto l'intensità della ricerca che l'ha prodotta. Sede: il corpus e il registro delle istruttorie. Chiusura: attribuzione a ciascuna constatazione di un'intensità dichiarata. Smentita: il rinvenimento di constatazioni negative fondate su ricerca non documentata, le quali non sarebbero constatazioni ma presunzioni di assenza.</w:t>
      </w:r>
    </w:p>
    <w:p>
      <w:pPr>
        <w:spacing w:line="276" w:lineRule="auto" w:after="120"/>
        <w:ind w:firstLine="425"/>
        <w:jc w:val="both"/>
      </w:pPr>
      <w:r>
        <w:rPr>
          <w:rFonts w:ascii="Times New Roman" w:hAnsi="Times New Roman" w:cs="Times New Roman" w:eastAsia="Times New Roman"/>
          <w:b w:val="0"/>
          <w:sz w:val="24"/>
        </w:rPr>
        <w:t>Voce ventiduesima — L'atto di riscontro sulla sollecitazione del mezzo protetto. Oggetto: l'atto formato presso l'ufficio destinatario della sollecitazione della vettura blindata, che costituirebbe la terza catena mancante. Sede: archivi amministrativi dell'ufficio competente per le dotazioni nel periodo. Chiusura: reperimento dell'atto, con restituzione del grado massimo alla proposizione qui declassata. Smentita: l'inesistenza dell'atto, ovvero la constatazione che la sollecitazione non seguisse forma scritta, nel qual caso la proposizione resta al grado intermedio in via definitiva e non provvisoria.</w:t>
      </w:r>
    </w:p>
    <w:p>
      <w:pPr>
        <w:spacing w:line="276" w:lineRule="auto" w:after="120" w:before="240"/>
        <w:ind w:firstLine="0"/>
        <w:jc w:val="left"/>
      </w:pPr>
      <w:r>
        <w:rPr>
          <w:rFonts w:ascii="Times New Roman" w:hAnsi="Times New Roman" w:cs="Times New Roman" w:eastAsia="Times New Roman"/>
          <w:b/>
          <w:sz w:val="24"/>
        </w:rPr>
        <w:t>Riga di giornale</w:t>
      </w:r>
    </w:p>
    <w:p>
      <w:pPr>
        <w:spacing w:line="276" w:lineRule="auto" w:after="120"/>
        <w:ind w:firstLine="425"/>
        <w:jc w:val="both"/>
      </w:pPr>
      <w:r>
        <w:rPr>
          <w:rFonts w:ascii="Times New Roman" w:hAnsi="Times New Roman" w:cs="Times New Roman" w:eastAsia="Times New Roman"/>
          <w:b w:val="0"/>
          <w:sz w:val="24"/>
        </w:rPr>
        <w:t>Riga del quindici agosto duemilaventisei. Cantiere: apparato probatorio dell'opera monografica. Materia: esecuzione della Voce settima della tavola accresciuta, verifica genealogica delle fonti mediante risalita all'evento originario.</w:t>
      </w:r>
    </w:p>
    <w:p>
      <w:pPr>
        <w:spacing w:line="276" w:lineRule="auto" w:after="120"/>
        <w:ind w:firstLine="425"/>
        <w:jc w:val="both"/>
      </w:pPr>
      <w:r>
        <w:rPr>
          <w:rFonts w:ascii="Times New Roman" w:hAnsi="Times New Roman" w:cs="Times New Roman" w:eastAsia="Times New Roman"/>
          <w:b w:val="0"/>
          <w:sz w:val="24"/>
        </w:rPr>
        <w:t>Esito positivo: definizione dei tre atti che stanno attorno a ogni fonte e delle due regole che ne discendono; misura larga dichiarata come tetto e ristretta in tre passi da millesessantatré a sessantaquattro proposizioni soggette; censimento delle duecentoquarantaquattro voci del repertorio per campo di genealogia; individuazione di undici nuclei di produzione ai quali si riconducono centosessantuno voci dichiarate originarie; accertamento della natura prevalentemente acquisitiva e non produttiva dei tre nuclei parlamentari; un caso di collasso accertato sul caso esibito dall'opera medesima, con declassamento della proposizione dal grado massimo al grado intermedio; correzione dichiarata del falsificatore dei gradi, riformulato sulla soglia dello standard; sei regole della risalita enunciate; tre voci nuove iscritte in tavola.</w:t>
      </w:r>
    </w:p>
    <w:p>
      <w:pPr>
        <w:spacing w:line="276" w:lineRule="auto" w:after="120"/>
        <w:ind w:firstLine="425"/>
        <w:jc w:val="both"/>
      </w:pPr>
      <w:r>
        <w:rPr>
          <w:rFonts w:ascii="Times New Roman" w:hAnsi="Times New Roman" w:cs="Times New Roman" w:eastAsia="Times New Roman"/>
          <w:b w:val="0"/>
          <w:sz w:val="24"/>
        </w:rPr>
        <w:t>Esito negativo: la risalita non è eseguibile per cinquantanove delle sessantaquattro proposizioni soggette, per difetto di designazione delle fonti per atto; la causa del difetto è interna all'opera e non esterna; la seconda delle cinque operazioni di controllo raccomandate al lettore risulta, allo stato, impraticabile dal lettore.</w:t>
      </w:r>
    </w:p>
    <w:p>
      <w:pPr>
        <w:spacing w:line="276" w:lineRule="auto" w:after="120"/>
        <w:ind w:firstLine="425"/>
        <w:jc w:val="both"/>
      </w:pPr>
      <w:r>
        <w:rPr>
          <w:rFonts w:ascii="Times New Roman" w:hAnsi="Times New Roman" w:cs="Times New Roman" w:eastAsia="Times New Roman"/>
          <w:b w:val="0"/>
          <w:sz w:val="24"/>
        </w:rPr>
        <w:t>Riga di esito nullo. Non è stato reperito nel corpus alcun atto che eseguisse, in tutto o in parte, la collassatura genealogica prescritta dai Blocchi mirati numero cinque, numero centouno e numero millecinquantuno. Il differimento è durato dalla prima prescrizione alla data odierna.</w:t>
      </w:r>
    </w:p>
    <w:p>
      <w:pPr>
        <w:spacing w:line="276" w:lineRule="auto" w:after="120"/>
        <w:ind w:firstLine="425"/>
        <w:jc w:val="both"/>
      </w:pPr>
      <w:r>
        <w:rPr>
          <w:rFonts w:ascii="Times New Roman" w:hAnsi="Times New Roman" w:cs="Times New Roman" w:eastAsia="Times New Roman"/>
          <w:b w:val="0"/>
          <w:sz w:val="24"/>
        </w:rPr>
        <w:t>Riga di correzione a sfavore. Due affermazioni anteriori di chi scrive sono qui corrette e nessuna delle due a proprio favore: che tutte le voci della tavola richiedano un accesso, la quale è falsa per due voci su diciannove; e che il caso esibito a dimostrazione dello standard reggesse alla risalita, il quale non regge.</w:t>
      </w:r>
    </w:p>
    <w:p>
      <w:pPr>
        <w:spacing w:line="276" w:lineRule="auto" w:after="120"/>
        <w:ind w:firstLine="425"/>
        <w:jc w:val="both"/>
      </w:pPr>
      <w:r>
        <w:rPr>
          <w:rFonts w:ascii="Times New Roman" w:hAnsi="Times New Roman" w:cs="Times New Roman" w:eastAsia="Times New Roman"/>
          <w:b w:val="0"/>
          <w:sz w:val="24"/>
        </w:rPr>
        <w:t>Riga di avvertenza. Nulla di quanto qui disposto attribuisce responsabilità ad alcuno, né muta l'accertamento della responsabilità materiale, il quale non è oggetto del presente atto. Le riduzioni di grado qui disposte non affermano il contrario di ciò che le proposizioni asserivano: esse dichiarano che l'asserzione è sostenuta a un grado inferiore a quello che le era stato attribuito, il che è cosa diversa e va detta al lettore in questa forma e non in altra.</w:t>
      </w:r>
    </w:p>
    <w:p>
      <w:pPr>
        <w:spacing w:line="276" w:lineRule="auto" w:after="120" w:before="240"/>
        <w:ind w:firstLine="0"/>
        <w:jc w:val="left"/>
      </w:pPr>
      <w:r>
        <w:rPr>
          <w:rFonts w:ascii="Times New Roman" w:hAnsi="Times New Roman" w:cs="Times New Roman" w:eastAsia="Times New Roman"/>
          <w:b/>
          <w:sz w:val="24"/>
        </w:rPr>
        <w:t>Colophon</w:t>
      </w:r>
    </w:p>
    <w:p>
      <w:pPr>
        <w:spacing w:line="276" w:lineRule="auto" w:after="120"/>
        <w:ind w:firstLine="425"/>
        <w:jc w:val="both"/>
      </w:pPr>
      <w:r>
        <w:rPr>
          <w:rFonts w:ascii="Times New Roman" w:hAnsi="Times New Roman" w:cs="Times New Roman" w:eastAsia="Times New Roman"/>
          <w:b w:val="0"/>
          <w:sz w:val="24"/>
        </w:rPr>
        <w:t>APPENDICE SECONDA ALLA FASE SETTIMA, verifica genealogica delle fonti in esecuzione della Voce settima della tavola accresciuta, quindici agosto duemilaventisei. I settanta Capitoli restano settanta. Le redazioni anteriori non sono modificate: le pietre deposte non si scalpellano, e la difformità fra esse e il presente atto è testimone della propria epoca. Resta sovrana la Regola di Ferro: dove la fonte documenta, l'opera certifica; dove la fonte tace, l'opera indaga e non afferma. Un'opera che prescriva al proprio lettore un controllo e non lo renda eseguibile ha dichiarato una disciplina e ne ha praticata un'altra. Autore e direttore dell'opera: Luigi De Michele.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