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120"/>
        <w:ind w:firstLine="0"/>
        <w:jc w:val="center"/>
      </w:pPr>
      <w:r>
        <w:rPr>
          <w:rFonts w:ascii="Times New Roman" w:hAnsi="Times New Roman" w:cs="Times New Roman" w:eastAsia="Times New Roman"/>
          <w:b/>
          <w:sz w:val="24"/>
        </w:rPr>
        <w:t>ALDO MORO</w:t>
      </w:r>
    </w:p>
    <w:p>
      <w:pPr>
        <w:spacing w:line="276" w:lineRule="auto" w:after="120"/>
        <w:ind w:firstLine="0"/>
        <w:jc w:val="center"/>
      </w:pPr>
      <w:r>
        <w:rPr>
          <w:rFonts w:ascii="Times New Roman" w:hAnsi="Times New Roman" w:cs="Times New Roman" w:eastAsia="Times New Roman"/>
          <w:b/>
          <w:sz w:val="24"/>
        </w:rPr>
        <w:t>IL REGISTRO DEI CINQUANTACINQUE GIORNI</w:t>
      </w:r>
    </w:p>
    <w:p>
      <w:pPr>
        <w:spacing w:line="276" w:lineRule="auto" w:after="120"/>
        <w:ind w:firstLine="0"/>
        <w:jc w:val="center"/>
      </w:pPr>
      <w:r>
        <w:rPr>
          <w:rFonts w:ascii="Times New Roman" w:hAnsi="Times New Roman" w:cs="Times New Roman" w:eastAsia="Times New Roman"/>
          <w:b/>
          <w:sz w:val="24"/>
        </w:rPr>
        <w:t>APPENDICE SESTA ALLA FASE SETTIMA</w:t>
      </w:r>
    </w:p>
    <w:p>
      <w:pPr>
        <w:spacing w:line="276" w:lineRule="auto" w:after="120"/>
        <w:ind w:firstLine="0"/>
        <w:jc w:val="center"/>
      </w:pPr>
      <w:r>
        <w:rPr>
          <w:rFonts w:ascii="Times New Roman" w:hAnsi="Times New Roman" w:cs="Times New Roman" w:eastAsia="Times New Roman"/>
          <w:b/>
          <w:sz w:val="24"/>
        </w:rPr>
        <w:t>La prima unità di produzione</w:t>
      </w:r>
    </w:p>
    <w:p>
      <w:pPr>
        <w:spacing w:line="276" w:lineRule="auto" w:after="120"/>
        <w:ind w:firstLine="0"/>
        <w:jc w:val="center"/>
      </w:pPr>
      <w:r>
        <w:rPr>
          <w:rFonts w:ascii="Times New Roman" w:hAnsi="Times New Roman" w:cs="Times New Roman" w:eastAsia="Times New Roman"/>
          <w:b/>
          <w:sz w:val="24"/>
        </w:rPr>
        <w:t>Relazione sugli sviluppi del caso, XI legislatura, documento XXIII numero 13</w:t>
      </w:r>
    </w:p>
    <w:p>
      <w:pPr>
        <w:spacing w:line="276" w:lineRule="auto" w:after="120"/>
        <w:ind w:firstLine="0"/>
        <w:jc w:val="center"/>
      </w:pPr>
      <w:r>
        <w:rPr>
          <w:rFonts w:ascii="Times New Roman" w:hAnsi="Times New Roman" w:cs="Times New Roman" w:eastAsia="Times New Roman"/>
          <w:b/>
          <w:sz w:val="24"/>
        </w:rPr>
        <w:t>Luigi De Michele</w:t>
      </w:r>
    </w:p>
    <w:p>
      <w:pPr>
        <w:spacing w:line="276" w:lineRule="auto" w:after="120"/>
        <w:ind w:firstLine="0"/>
        <w:jc w:val="center"/>
      </w:pPr>
      <w:r>
        <w:rPr>
          <w:rFonts w:ascii="Times New Roman" w:hAnsi="Times New Roman" w:cs="Times New Roman" w:eastAsia="Times New Roman"/>
          <w:b/>
          <w:sz w:val="24"/>
        </w:rPr>
        <w:t>15 agosto 2026</w:t>
      </w:r>
    </w:p>
    <w:p>
      <w:pPr>
        <w:spacing w:line="276" w:lineRule="auto" w:after="120" w:before="240"/>
        <w:ind w:firstLine="0"/>
        <w:jc w:val="left"/>
      </w:pPr>
      <w:r>
        <w:rPr>
          <w:rFonts w:ascii="Times New Roman" w:hAnsi="Times New Roman" w:cs="Times New Roman" w:eastAsia="Times New Roman"/>
          <w:b/>
          <w:sz w:val="24"/>
        </w:rPr>
        <w:t>Atto di edizione dell'appendice sesta</w:t>
      </w:r>
    </w:p>
    <w:p>
      <w:pPr>
        <w:spacing w:line="276" w:lineRule="auto" w:after="120"/>
        <w:ind w:firstLine="425"/>
        <w:jc w:val="both"/>
      </w:pPr>
      <w:r>
        <w:rPr>
          <w:rFonts w:ascii="Times New Roman" w:hAnsi="Times New Roman" w:cs="Times New Roman" w:eastAsia="Times New Roman"/>
          <w:b w:val="0"/>
          <w:sz w:val="24"/>
        </w:rPr>
        <w:t>La presente è appendice sesta alla Fase Settima e opera sulla relazione parlamentare sugli sviluppi del caso approvata nella XI legislatura e stampata come documento XXIII numero 13, della quale si possiede la trascrizione integrale delle ventitré pagine. Come le cinque anteriori, essa non modifica alcun Capitolo: i settanta restano settanta.</w:t>
      </w:r>
    </w:p>
    <w:p>
      <w:pPr>
        <w:spacing w:line="276" w:lineRule="auto" w:after="120"/>
        <w:ind w:firstLine="425"/>
        <w:jc w:val="both"/>
      </w:pPr>
      <w:r>
        <w:rPr>
          <w:rFonts w:ascii="Times New Roman" w:hAnsi="Times New Roman" w:cs="Times New Roman" w:eastAsia="Times New Roman"/>
          <w:b w:val="0"/>
          <w:sz w:val="24"/>
        </w:rPr>
        <w:t>Questa unità differisce da tutte le precedenti per una ragione che ne governa l'intero trattamento. Le cinque appendici anteriori hanno lavorato su indici di acquisizione e su processi verbali, che sono atti di reperimento. La presente lavora su un atto di produzione: una relazione è un giudizio, e il suo autore ne è fonte originaria e piena. È la prima volta, in questa serie, che un nucleo parlamentare compare nella funzione per la quale esso genera catena propria, e non in quella per la quale ne raddoppia una altrui.</w:t>
      </w:r>
    </w:p>
    <w:p>
      <w:pPr>
        <w:spacing w:line="276" w:lineRule="auto" w:after="120" w:before="240"/>
        <w:ind w:firstLine="0"/>
        <w:jc w:val="left"/>
      </w:pPr>
      <w:r>
        <w:rPr>
          <w:rFonts w:ascii="Times New Roman" w:hAnsi="Times New Roman" w:cs="Times New Roman" w:eastAsia="Times New Roman"/>
          <w:b/>
          <w:sz w:val="24"/>
        </w:rPr>
        <w:t>Parte prima — Lo statuto della relazione, e ciò che essa non converte</w:t>
      </w:r>
    </w:p>
    <w:p>
      <w:pPr>
        <w:spacing w:line="276" w:lineRule="auto" w:after="120"/>
        <w:ind w:firstLine="425"/>
        <w:jc w:val="both"/>
      </w:pPr>
      <w:r>
        <w:rPr>
          <w:rFonts w:ascii="Times New Roman" w:hAnsi="Times New Roman" w:cs="Times New Roman" w:eastAsia="Times New Roman"/>
          <w:b w:val="0"/>
          <w:sz w:val="24"/>
        </w:rPr>
        <w:t>Una relazione parlamentare è, quanto alla propria genealogia, un oggetto composito, e la sua scomposizione va compiuta prima di trarne alcunché.</w:t>
      </w:r>
    </w:p>
    <w:p>
      <w:pPr>
        <w:spacing w:line="276" w:lineRule="auto" w:after="120"/>
        <w:ind w:firstLine="425"/>
        <w:jc w:val="both"/>
      </w:pPr>
      <w:r>
        <w:rPr>
          <w:rFonts w:ascii="Times New Roman" w:hAnsi="Times New Roman" w:cs="Times New Roman" w:eastAsia="Times New Roman"/>
          <w:b w:val="0"/>
          <w:sz w:val="24"/>
        </w:rPr>
        <w:t>Essa è produzione originaria quanto a tre cose e a nessun'altra: le proprie valutazioni, i propri rilievi sullo stato degli atti, e le proprie richieste all'organismo che le succederà. Di queste tre l'organo è autore, e nessuna fonte anteriore le contiene.</w:t>
      </w:r>
    </w:p>
    <w:p>
      <w:pPr>
        <w:spacing w:line="276" w:lineRule="auto" w:after="120"/>
        <w:ind w:firstLine="425"/>
        <w:jc w:val="both"/>
      </w:pPr>
      <w:r>
        <w:rPr>
          <w:rFonts w:ascii="Times New Roman" w:hAnsi="Times New Roman" w:cs="Times New Roman" w:eastAsia="Times New Roman"/>
          <w:b w:val="0"/>
          <w:sz w:val="24"/>
        </w:rPr>
        <w:t>Essa è esposizione, e non fonte, quanto a tutto ciò che riferisce di atti altrui. Che una relazione parlamentare riporti il contenuto di una perizia non fa della relazione una fonte della perizia; che ne riporti il contenuto di una dichiarazione non ne fa una fonte della dichiarazione. La catena resta l'atto riferito, e la relazione ne è il primo indirizzo pubblico.</w:t>
      </w:r>
    </w:p>
    <w:p>
      <w:pPr>
        <w:spacing w:line="276" w:lineRule="auto" w:after="120"/>
        <w:ind w:firstLine="425"/>
        <w:jc w:val="both"/>
      </w:pPr>
      <w:r>
        <w:rPr>
          <w:rFonts w:ascii="Times New Roman" w:hAnsi="Times New Roman" w:cs="Times New Roman" w:eastAsia="Times New Roman"/>
          <w:b w:val="0"/>
          <w:sz w:val="24"/>
        </w:rPr>
        <w:t>Il punto va enunciato in forma di regola, poiché la relazione qui esaminata riferisce ampiamente da interviste giornalistiche, da trasmissioni televisive e da libri, e poiché è precisamente questo il meccanismo per il quale materiali di grado minimo acquistano, per sola collocazione, un'autorità che nessuno intendeva conferire loro.</w:t>
      </w:r>
    </w:p>
    <w:p>
      <w:pPr>
        <w:spacing w:line="276" w:lineRule="auto" w:after="120"/>
        <w:ind w:firstLine="425"/>
        <w:jc w:val="both"/>
      </w:pPr>
      <w:r>
        <w:rPr>
          <w:rFonts w:ascii="Times New Roman" w:hAnsi="Times New Roman" w:cs="Times New Roman" w:eastAsia="Times New Roman"/>
          <w:b w:val="0"/>
          <w:sz w:val="24"/>
        </w:rPr>
        <w:t>Nona regola della risalita. La citazione in un atto pubblico non muta la genealogia della fonte citata. Un'intervista riportata in una relazione parlamentare resta un'intervista, e il grado che le compete è quello che le competeva prima di esservi riportata. Ciò che l'atto pubblico aggiunge è la constatazione che quella dichiarazione fu resa e che l'organo la ritenne meritevole di menzione: due fatti veri, e nessuno dei due sul merito.</w:t>
      </w:r>
    </w:p>
    <w:p>
      <w:pPr>
        <w:spacing w:line="276" w:lineRule="auto" w:after="120" w:before="240"/>
        <w:ind w:firstLine="0"/>
        <w:jc w:val="left"/>
      </w:pPr>
      <w:r>
        <w:rPr>
          <w:rFonts w:ascii="Times New Roman" w:hAnsi="Times New Roman" w:cs="Times New Roman" w:eastAsia="Times New Roman"/>
          <w:b/>
          <w:sz w:val="24"/>
        </w:rPr>
        <w:t>Parte seconda — Il repertorio generale del Gabinetto</w:t>
      </w:r>
    </w:p>
    <w:p>
      <w:pPr>
        <w:spacing w:line="276" w:lineRule="auto" w:after="120"/>
        <w:ind w:firstLine="425"/>
        <w:jc w:val="both"/>
      </w:pPr>
      <w:r>
        <w:rPr>
          <w:rFonts w:ascii="Times New Roman" w:hAnsi="Times New Roman" w:cs="Times New Roman" w:eastAsia="Times New Roman"/>
          <w:b w:val="0"/>
          <w:sz w:val="24"/>
        </w:rPr>
        <w:t>La relazione contiene una acquisizione che, sola, vale più dell'intero lavoro delle cinque appendici anteriori, e va esposta per prima.</w:t>
      </w:r>
    </w:p>
    <w:p>
      <w:pPr>
        <w:spacing w:line="276" w:lineRule="auto" w:after="120"/>
        <w:ind w:firstLine="425"/>
        <w:jc w:val="both"/>
      </w:pPr>
      <w:r>
        <w:rPr>
          <w:rFonts w:ascii="Times New Roman" w:hAnsi="Times New Roman" w:cs="Times New Roman" w:eastAsia="Times New Roman"/>
          <w:b w:val="0"/>
          <w:sz w:val="24"/>
        </w:rPr>
        <w:t>L'organo dichiara di essere venuto a conoscenza, per circostanze che esso stesso qualifica come sostanzialmente fortuite, che presso il Gabinetto del Ministro dell'interno era stato redatto un repertorio generale di tutti gli atti, da qualunque autorità formati, concernenti il caso e transitati per quel Dicastero; e dichiara che copia del repertorio fu immediatamente acquisita. Esso raccomanda inoltre all'organismo che gli succederà di acquisire piena conoscenza dell'oggetto degli atti repertati, per colmare ove possibile i vuoti di informazione perduranti.</w:t>
      </w:r>
    </w:p>
    <w:p>
      <w:pPr>
        <w:spacing w:line="276" w:lineRule="auto" w:after="120"/>
        <w:ind w:firstLine="425"/>
        <w:jc w:val="both"/>
      </w:pPr>
      <w:r>
        <w:rPr>
          <w:rFonts w:ascii="Times New Roman" w:hAnsi="Times New Roman" w:cs="Times New Roman" w:eastAsia="Times New Roman"/>
          <w:b w:val="0"/>
          <w:sz w:val="24"/>
        </w:rPr>
        <w:t>Si dica che cosa questo significhi per l'operazione in corso. La Voce ventesima domanda la designazione per atto delle fonti dell'opera, e le cinque appendici l'hanno perseguita per ricomposizione: cinquanta unità individuate voce per voce su indici e verbali, con diciannove lacune poi chiuse e tre divergenze accertate. Il repertorio qui nominato è, per definizione propria, l'inventario di tutti gli atti concernenti il caso transitati per il Ministero che ebbe la direzione della crisi. Esso non è una fonte del caso: è lo strumento che rende designabile per atto ciò che di quel caso passò per quella sede.</w:t>
      </w:r>
    </w:p>
    <w:p>
      <w:pPr>
        <w:spacing w:line="276" w:lineRule="auto" w:after="120"/>
        <w:ind w:firstLine="425"/>
        <w:jc w:val="both"/>
      </w:pPr>
      <w:r>
        <w:rPr>
          <w:rFonts w:ascii="Times New Roman" w:hAnsi="Times New Roman" w:cs="Times New Roman" w:eastAsia="Times New Roman"/>
          <w:b w:val="0"/>
          <w:sz w:val="24"/>
        </w:rPr>
        <w:t>Si dica altresì che cosa significhi la circostanza della scoperta. Un organo parlamentare d'inchiesta, dotato dei poteri dell'autorità giudiziaria, apprende per caso, a sedici anni dai fatti, che l'amministrazione che ebbe la direzione della crisi possedeva un inventario generale dei propri atti sul caso. L'inventario non era stato distrutto, non era stato negato, non era stato classificato: non era stato menzionato. Fra il celare e il non dire corre una differenza giuridica grande e una differenza pratica nulla, e la seconda è quella che il ricercatore incontra.</w:t>
      </w:r>
    </w:p>
    <w:p>
      <w:pPr>
        <w:spacing w:line="276" w:lineRule="auto" w:after="120"/>
        <w:ind w:firstLine="425"/>
        <w:jc w:val="both"/>
      </w:pPr>
      <w:r>
        <w:rPr>
          <w:rFonts w:ascii="Times New Roman" w:hAnsi="Times New Roman" w:cs="Times New Roman" w:eastAsia="Times New Roman"/>
          <w:b w:val="0"/>
          <w:sz w:val="24"/>
        </w:rPr>
        <w:t>Si registra la circostanza come conferma, su un caso determinato, della regolarità che il corpus maggiore ha già iscritta fra le proprie risultanze: nessun archivio di apparato si è aperto per iniziativa propria, e le aperture sono conseguite a pressione esterna. Qui non vi fu neppure pressione: vi fu il caso.</w:t>
      </w:r>
    </w:p>
    <w:p>
      <w:pPr>
        <w:spacing w:line="276" w:lineRule="auto" w:after="120"/>
        <w:ind w:firstLine="425"/>
        <w:jc w:val="both"/>
      </w:pPr>
      <w:r>
        <w:rPr>
          <w:rFonts w:ascii="Times New Roman" w:hAnsi="Times New Roman" w:cs="Times New Roman" w:eastAsia="Times New Roman"/>
          <w:b w:val="0"/>
          <w:sz w:val="24"/>
        </w:rPr>
        <w:t>Si iscrive in tavola la voce che ne discende, e la si dichiara la più rilevante della tavola dopo la Voce quinta.</w:t>
      </w:r>
    </w:p>
    <w:p>
      <w:pPr>
        <w:spacing w:line="276" w:lineRule="auto" w:after="120"/>
        <w:ind w:firstLine="425"/>
        <w:jc w:val="both"/>
      </w:pPr>
      <w:r>
        <w:rPr>
          <w:rFonts w:ascii="Times New Roman" w:hAnsi="Times New Roman" w:cs="Times New Roman" w:eastAsia="Times New Roman"/>
          <w:b w:val="0"/>
          <w:sz w:val="24"/>
        </w:rPr>
        <w:t>Voce ventisettesima — Il repertorio generale degli atti del Gabinetto. Oggetto: il repertorio generale di tutti gli atti concernenti il caso, da qualunque autorità formati, transitati per il Gabinetto del Ministro dell'interno; e, per ciascuna voce repertata, l'oggetto dell'atto. Sede: copia acquisita agli atti della Commissione della XI legislatura, presso l'archivio storico competente; originale presso il Gabinetto del Ministro dell'interno. Chiusura: acquisizione del repertorio e collazione delle sue voci con le cinquanta unità già designate. Smentita: la constatazione che il repertorio rechi le sole voci di protocollo senza oggetto, nel qual caso esso individuerebbe l'esistenza degli atti senza renderli domandabili, e la voce si trasformerebbe nella richiesta degli atti uno per uno.</w:t>
      </w:r>
    </w:p>
    <w:p>
      <w:pPr>
        <w:spacing w:line="276" w:lineRule="auto" w:after="120"/>
        <w:ind w:firstLine="425"/>
        <w:jc w:val="both"/>
      </w:pPr>
      <w:r>
        <w:rPr>
          <w:rFonts w:ascii="Times New Roman" w:hAnsi="Times New Roman" w:cs="Times New Roman" w:eastAsia="Times New Roman"/>
          <w:b w:val="0"/>
          <w:sz w:val="24"/>
        </w:rPr>
        <w:t>Si segnala che la Commissione della XI legislatura raccomandò l'acquisizione dell'oggetto degli atti repertati all'organismo successivo, e che il presente atto non accerta se tale raccomandazione sia stata eseguita. La verifica dell'esecuzione è iscritta nella medesima voce.</w:t>
      </w:r>
    </w:p>
    <w:p>
      <w:pPr>
        <w:spacing w:line="276" w:lineRule="auto" w:after="120" w:before="240"/>
        <w:ind w:firstLine="0"/>
        <w:jc w:val="left"/>
      </w:pPr>
      <w:r>
        <w:rPr>
          <w:rFonts w:ascii="Times New Roman" w:hAnsi="Times New Roman" w:cs="Times New Roman" w:eastAsia="Times New Roman"/>
          <w:b/>
          <w:sz w:val="24"/>
        </w:rPr>
        <w:t>Parte terza — Le tre discontinuità documentate</w:t>
      </w:r>
    </w:p>
    <w:p>
      <w:pPr>
        <w:spacing w:line="276" w:lineRule="auto" w:after="120"/>
        <w:ind w:firstLine="425"/>
        <w:jc w:val="both"/>
      </w:pPr>
      <w:r>
        <w:rPr>
          <w:rFonts w:ascii="Times New Roman" w:hAnsi="Times New Roman" w:cs="Times New Roman" w:eastAsia="Times New Roman"/>
          <w:b w:val="0"/>
          <w:sz w:val="24"/>
        </w:rPr>
        <w:t>La relazione documenta tre discontinuità nell'attività degli apparati, e le documenta nella forma che la Scheda prima dello scenario primo del memorandum operativo prescrive di cercare: non ordini, ma atti mancanti.</w:t>
      </w:r>
    </w:p>
    <w:p>
      <w:pPr>
        <w:spacing w:line="276" w:lineRule="auto" w:after="120"/>
        <w:ind w:firstLine="425"/>
        <w:jc w:val="both"/>
      </w:pPr>
      <w:r>
        <w:rPr>
          <w:rFonts w:ascii="Times New Roman" w:hAnsi="Times New Roman" w:cs="Times New Roman" w:eastAsia="Times New Roman"/>
          <w:b w:val="0"/>
          <w:sz w:val="24"/>
        </w:rPr>
        <w:t>Prima discontinuità. Alle ore sette del ventuno marzo millenovecentosettantotto fu ordinato l'allertamento di un'unità di intervento speciale della Marina, e alle ore tredici l'allarme fu revocato. Presso il Ministero dell'interno non vi è traccia dell'ordine di allertamento; l'ordine risulta invece pervenuto al Ministero della difesa, presso il quale è custodita la documentazione relativa alle attività del reparto nel periodo. L'organo conclude che si sappia che un allertamento vi fu, e che non ne possano essere documentati i responsabili né i presupposti di fatto. Il fatto è riportato per esteso nella relazione conclusiva della X legislatura, documento XXIII numero 49, alla pagina ventinove e seguenti.</w:t>
      </w:r>
    </w:p>
    <w:p>
      <w:pPr>
        <w:spacing w:line="276" w:lineRule="auto" w:after="120"/>
        <w:ind w:firstLine="425"/>
        <w:jc w:val="both"/>
      </w:pPr>
      <w:r>
        <w:rPr>
          <w:rFonts w:ascii="Times New Roman" w:hAnsi="Times New Roman" w:cs="Times New Roman" w:eastAsia="Times New Roman"/>
          <w:b w:val="0"/>
          <w:sz w:val="24"/>
        </w:rPr>
        <w:t>Questa è la figura documentale più netta dell'intero fascicolo, e va enunciata con esattezza. Un ordine esiste presso il destinatario e non presso l'emittente. Le due proposizioni non si equivalgono e la seconda non si inferisce dalla prima: l'assenza presso l'emittente può derivare da omessa formazione, da omessa conservazione, da formazione orale, ovvero da conservazione presso una sede diversa da quella interrogata. La relazione non discrimina fra le quattro, e il presente atto non lo fa in sua vece.</w:t>
      </w:r>
    </w:p>
    <w:p>
      <w:pPr>
        <w:spacing w:line="276" w:lineRule="auto" w:after="120"/>
        <w:ind w:firstLine="425"/>
        <w:jc w:val="both"/>
      </w:pPr>
      <w:r>
        <w:rPr>
          <w:rFonts w:ascii="Times New Roman" w:hAnsi="Times New Roman" w:cs="Times New Roman" w:eastAsia="Times New Roman"/>
          <w:b w:val="0"/>
          <w:sz w:val="24"/>
        </w:rPr>
        <w:t>Seconda discontinuità. L'organo dichiara che non sono disponibili atti formali ai quali ricondurre l'insediamento dei comitati di crisi istituiti presso il Ministero dell'interno, né verbalizzazioni, sia pure succinte, del loro operato, e qualifica la circostanza come grave negligenza nella formulazione a essa più benevola.</w:t>
      </w:r>
    </w:p>
    <w:p>
      <w:pPr>
        <w:spacing w:line="276" w:lineRule="auto" w:after="120"/>
        <w:ind w:firstLine="425"/>
        <w:jc w:val="both"/>
      </w:pPr>
      <w:r>
        <w:rPr>
          <w:rFonts w:ascii="Times New Roman" w:hAnsi="Times New Roman" w:cs="Times New Roman" w:eastAsia="Times New Roman"/>
          <w:b w:val="0"/>
          <w:sz w:val="24"/>
        </w:rPr>
        <w:t>Questa dichiarazione qualifica retroattivamente un'acquisizione della appendice terza. L'unità quarantaduesima del fascicolo reca gli appunti coevi di quattro esperti del comitato di crisi, e l'appendice terza aveva osservato che essa serve la classe degli atti dei comitati di crisi. La presente relazione stabilisce che quegli appunti non affiancano una verbalizzazione: la sostituiscono, perché la verbalizzazione non esiste. Il valore dell'unità quarantaduesima ne risulta accresciuto e il suo limite ne risulta fissato: essa è ciò che resta di un organismo che non produsse atti propri, e non può dunque essere collazionata con alcunché.</w:t>
      </w:r>
    </w:p>
    <w:p>
      <w:pPr>
        <w:spacing w:line="276" w:lineRule="auto" w:after="120"/>
        <w:ind w:firstLine="425"/>
        <w:jc w:val="both"/>
      </w:pPr>
      <w:r>
        <w:rPr>
          <w:rFonts w:ascii="Times New Roman" w:hAnsi="Times New Roman" w:cs="Times New Roman" w:eastAsia="Times New Roman"/>
          <w:b w:val="0"/>
          <w:sz w:val="24"/>
        </w:rPr>
        <w:t>Terza discontinuità. Non risulta agli atti del Ministero della difesa alcuna traccia di un comitato informale che sarebbe stato istituito presso il Ministero della marina durante il sequestro. L'ordinanza di rinvio a giudizio del quarto procedimento ha ritenuto, allo stato degli atti, non provata l'esistenza dell'organismo né la partecipazione ad esso della persona alla quale alcune ipotesi ricostruttive la attribuivano. Il senatore audito dall'organo ha dichiarato di non essere a conoscenza di comitati di sorta presso quella sede, e di essere a conoscenza soltanto di un incarico affidato all'ufficio di decrittazione del servizio informativo d'arma, avente per oggetto l'esame dei documenti provenienti dal prigioniero nel presupposto che potessero contenere messaggi cifrati.</w:t>
      </w:r>
    </w:p>
    <w:p>
      <w:pPr>
        <w:spacing w:line="276" w:lineRule="auto" w:after="120"/>
        <w:ind w:firstLine="425"/>
        <w:jc w:val="both"/>
      </w:pPr>
      <w:r>
        <w:rPr>
          <w:rFonts w:ascii="Times New Roman" w:hAnsi="Times New Roman" w:cs="Times New Roman" w:eastAsia="Times New Roman"/>
          <w:b w:val="0"/>
          <w:sz w:val="24"/>
        </w:rPr>
        <w:t>Si registri quest'ultimo dato, poiché esso non è una discontinuità ma un'acquisizione positiva, e appartiene alla materia della Fase Quarta: gli scritti della prigionia furono sottoposti, all'epoca, a esame crittografico da parte di un servizio informativo d'arma. Ne segue che esiste, o esistette, una documentazione di quell'esame, formata da un ufficio determinato in un periodo determinato. Essa non figura in tavola e vi si iscrive.</w:t>
      </w:r>
    </w:p>
    <w:p>
      <w:pPr>
        <w:spacing w:line="276" w:lineRule="auto" w:after="120"/>
        <w:ind w:firstLine="425"/>
        <w:jc w:val="both"/>
      </w:pPr>
      <w:r>
        <w:rPr>
          <w:rFonts w:ascii="Times New Roman" w:hAnsi="Times New Roman" w:cs="Times New Roman" w:eastAsia="Times New Roman"/>
          <w:b w:val="0"/>
          <w:sz w:val="24"/>
        </w:rPr>
        <w:t>Voce ventottesima — L'esame crittografico degli scritti della prigionia. Oggetto: la documentazione dell'incarico affidato all'ufficio di decrittazione del servizio informativo della Marina avente per oggetto gli scritti provenienti dal prigioniero, e le risultanze di tale esame. Sede: archivi del Ministero della difesa e dello Stato maggiore della Marina. Chiusura: reperimento dell'atto di incarico e della relazione conclusiva. Smentita: l'inesistenza di documentazione dell'incarico, la quale collocherebbe la circostanza fra le attività non verbalizzate, come i comitati di crisi.</w:t>
      </w:r>
    </w:p>
    <w:p>
      <w:pPr>
        <w:spacing w:line="276" w:lineRule="auto" w:after="120" w:before="240"/>
        <w:ind w:firstLine="0"/>
        <w:jc w:val="left"/>
      </w:pPr>
      <w:r>
        <w:rPr>
          <w:rFonts w:ascii="Times New Roman" w:hAnsi="Times New Roman" w:cs="Times New Roman" w:eastAsia="Times New Roman"/>
          <w:b/>
          <w:sz w:val="24"/>
        </w:rPr>
        <w:t>Parte quarta — Un collasso di tredici anni</w:t>
      </w:r>
    </w:p>
    <w:p>
      <w:pPr>
        <w:spacing w:line="276" w:lineRule="auto" w:after="120"/>
        <w:ind w:firstLine="425"/>
        <w:jc w:val="both"/>
      </w:pPr>
      <w:r>
        <w:rPr>
          <w:rFonts w:ascii="Times New Roman" w:hAnsi="Times New Roman" w:cs="Times New Roman" w:eastAsia="Times New Roman"/>
          <w:b w:val="0"/>
          <w:sz w:val="24"/>
        </w:rPr>
        <w:t>La relazione documenta il caso più limpido di collasso genealogico incontrato nell'intera serie, e lo documenta contro il clamore che lo circondava.</w:t>
      </w:r>
    </w:p>
    <w:p>
      <w:pPr>
        <w:spacing w:line="276" w:lineRule="auto" w:after="120"/>
        <w:ind w:firstLine="425"/>
        <w:jc w:val="both"/>
      </w:pPr>
      <w:r>
        <w:rPr>
          <w:rFonts w:ascii="Times New Roman" w:hAnsi="Times New Roman" w:cs="Times New Roman" w:eastAsia="Times New Roman"/>
          <w:b w:val="0"/>
          <w:sz w:val="24"/>
        </w:rPr>
        <w:t>Nel novembre millenovecentonovantatré la diffusione di un'intervista rilasciata a un'emittente straniera rese pubblica l'esistenza di due pianificazioni predisposte in previsione della conclusione del sequestro, l'una per l'eventualità del rilascio in vita e l'altra per quella del rinvenimento senza vita. La notizia suscitò, per dichiarazione dell'organo, vivo scalpore in tutti i mezzi di informazione nazionali, e vi fu attribuito significato di assoluta novità.</w:t>
      </w:r>
    </w:p>
    <w:p>
      <w:pPr>
        <w:spacing w:line="276" w:lineRule="auto" w:after="120"/>
        <w:ind w:firstLine="425"/>
        <w:jc w:val="both"/>
      </w:pPr>
      <w:r>
        <w:rPr>
          <w:rFonts w:ascii="Times New Roman" w:hAnsi="Times New Roman" w:cs="Times New Roman" w:eastAsia="Times New Roman"/>
          <w:b w:val="0"/>
          <w:sz w:val="24"/>
        </w:rPr>
        <w:t>L'organo osserva che si trattava di argomenti già comparsi in precedenza, e ne indica due occorrenze anteriori. La prima è un volume pubblicato sedici anni prima, nel quale è riportato uno stralcio di diario recante la vicenda con ampiezza di dettagli. La seconda, e decisiva, è l'audizione di un prefetto dinanzi alla prima Commissione parlamentare sul caso, nella seduta del sette novembre millenovecentottanta, negli atti di quella Commissione, VIII legislatura, documento XXIII numero 5, volume sesto, pagina quattro.</w:t>
      </w:r>
    </w:p>
    <w:p>
      <w:pPr>
        <w:spacing w:line="276" w:lineRule="auto" w:after="120"/>
        <w:ind w:firstLine="425"/>
        <w:jc w:val="both"/>
      </w:pPr>
      <w:r>
        <w:rPr>
          <w:rFonts w:ascii="Times New Roman" w:hAnsi="Times New Roman" w:cs="Times New Roman" w:eastAsia="Times New Roman"/>
          <w:b w:val="0"/>
          <w:sz w:val="24"/>
        </w:rPr>
        <w:t>Fra la fonte e la rivelazione corrono tredici anni. L'atto anteriore reca segnatura completa: legislatura, documento, numero, volume, pagina. Esso era pubblico, stampato e consultabile per l'intero periodo.</w:t>
      </w:r>
    </w:p>
    <w:p>
      <w:pPr>
        <w:spacing w:line="276" w:lineRule="auto" w:after="120"/>
        <w:ind w:firstLine="425"/>
        <w:jc w:val="both"/>
      </w:pPr>
      <w:r>
        <w:rPr>
          <w:rFonts w:ascii="Times New Roman" w:hAnsi="Times New Roman" w:cs="Times New Roman" w:eastAsia="Times New Roman"/>
          <w:b w:val="0"/>
          <w:sz w:val="24"/>
        </w:rPr>
        <w:t>Si enuncia la regola, che è la decima e chiude la serie aperta dall'appendice seconda.</w:t>
      </w:r>
    </w:p>
    <w:p>
      <w:pPr>
        <w:spacing w:line="276" w:lineRule="auto" w:after="120"/>
        <w:ind w:firstLine="425"/>
        <w:jc w:val="both"/>
      </w:pPr>
      <w:r>
        <w:rPr>
          <w:rFonts w:ascii="Times New Roman" w:hAnsi="Times New Roman" w:cs="Times New Roman" w:eastAsia="Times New Roman"/>
          <w:b w:val="0"/>
          <w:sz w:val="24"/>
        </w:rPr>
        <w:t>Decima regola della risalita. Una rivelazione è un atto di esposizione. Prima di computarla come fonte nuova se ne cerchi l'occorrenza anteriore, e la si cerchi negli atti pubblici prima che negli archivi chiusi. In una materia sulla quale si è pubblicato per decenni, la probabilità che un elemento presentato come inedito sia già stampato è alta, e il costo della verifica è quello di una consultazione.</w:t>
      </w:r>
    </w:p>
    <w:p>
      <w:pPr>
        <w:spacing w:line="276" w:lineRule="auto" w:after="120"/>
        <w:ind w:firstLine="425"/>
        <w:jc w:val="both"/>
      </w:pPr>
      <w:r>
        <w:rPr>
          <w:rFonts w:ascii="Times New Roman" w:hAnsi="Times New Roman" w:cs="Times New Roman" w:eastAsia="Times New Roman"/>
          <w:b w:val="0"/>
          <w:sz w:val="24"/>
        </w:rPr>
        <w:t>Si registra che questa regola, se applicata retroattivamente alla letteratura sul caso, muterebbe il computo di un numero di convergenze che il presente atto non è in grado di stimare e non stima.</w:t>
      </w:r>
    </w:p>
    <w:p>
      <w:pPr>
        <w:spacing w:line="276" w:lineRule="auto" w:after="120" w:before="240"/>
        <w:ind w:firstLine="0"/>
        <w:jc w:val="left"/>
      </w:pPr>
      <w:r>
        <w:rPr>
          <w:rFonts w:ascii="Times New Roman" w:hAnsi="Times New Roman" w:cs="Times New Roman" w:eastAsia="Times New Roman"/>
          <w:b/>
          <w:sz w:val="24"/>
        </w:rPr>
        <w:t>Parte quinta — Le carte, e l'ordine ritrovato</w:t>
      </w:r>
    </w:p>
    <w:p>
      <w:pPr>
        <w:spacing w:line="276" w:lineRule="auto" w:after="120"/>
        <w:ind w:firstLine="425"/>
        <w:jc w:val="both"/>
      </w:pPr>
      <w:r>
        <w:rPr>
          <w:rFonts w:ascii="Times New Roman" w:hAnsi="Times New Roman" w:cs="Times New Roman" w:eastAsia="Times New Roman"/>
          <w:b w:val="0"/>
          <w:sz w:val="24"/>
        </w:rPr>
        <w:t>La relazione reca, quanto agli scritti della prigionia, tre acquisizioni che appartengono alla materia della Fase Quarta e che ne toccano la disciplina di lettura.</w:t>
      </w:r>
    </w:p>
    <w:p>
      <w:pPr>
        <w:spacing w:line="276" w:lineRule="auto" w:after="120"/>
        <w:ind w:firstLine="425"/>
        <w:jc w:val="both"/>
      </w:pPr>
      <w:r>
        <w:rPr>
          <w:rFonts w:ascii="Times New Roman" w:hAnsi="Times New Roman" w:cs="Times New Roman" w:eastAsia="Times New Roman"/>
          <w:b w:val="0"/>
          <w:sz w:val="24"/>
        </w:rPr>
        <w:t>Prima. Il testo dattiloscritto sequestrato nell'ottobre millenovecentosettantotto corrisponde alla trascrizione di circa una metà del manoscritto rinvenuto nel millenovecentonovanta, e dal dattiloscritto mancano l'intera prima parte e taluni passaggi della seconda. L'organo indica quali siano i passaggi mancanti dalla seconda parte per materia. Il fatto della difformità fra le due versioni è documentale; la spiegazione della difformità non lo è, e l'organo espone entrambe le direzioni senza risolvere fra esse.</w:t>
      </w:r>
    </w:p>
    <w:p>
      <w:pPr>
        <w:spacing w:line="276" w:lineRule="auto" w:after="120"/>
        <w:ind w:firstLine="425"/>
        <w:jc w:val="both"/>
      </w:pPr>
      <w:r>
        <w:rPr>
          <w:rFonts w:ascii="Times New Roman" w:hAnsi="Times New Roman" w:cs="Times New Roman" w:eastAsia="Times New Roman"/>
          <w:b w:val="0"/>
          <w:sz w:val="24"/>
        </w:rPr>
        <w:t>Seconda, e la più rilevante per la disciplina dell'opera. Uno studio filologico, condotto anche sulle carte di un perito linguista del tribunale che aveva esaminato i comunicati, ha stabilito per via interna al testo che il manoscritto rinvenuto nel millenovecentonovanta reca almeno due rinvii a passaggi dei quali non vi è traccia nelle versioni conosciute, e ne ha inferito che esso abbia subito sottrazioni limitate e circostanziate. Lo studio è stato acquisito agli atti del quinto procedimento.</w:t>
      </w:r>
    </w:p>
    <w:p>
      <w:pPr>
        <w:spacing w:line="276" w:lineRule="auto" w:after="120"/>
        <w:ind w:firstLine="425"/>
        <w:jc w:val="both"/>
      </w:pPr>
      <w:r>
        <w:rPr>
          <w:rFonts w:ascii="Times New Roman" w:hAnsi="Times New Roman" w:cs="Times New Roman" w:eastAsia="Times New Roman"/>
          <w:b w:val="0"/>
          <w:sz w:val="24"/>
        </w:rPr>
        <w:t>Il metodo impiegato va nominato perché appartiene al genere che l'opera pratica: si tratta della ricerca delle discontinuità interne a un testo mediante la classificazione dei suoi rinvii anaforici, cioè delle espressioni con le quali chi scrive richiama ciò che ha già detto. Un rinvio senza referente è, entro un testo coerente, l'equivalente di un atto che entra in un ufficio e non ne esce. La figura è la medesima e cambia il supporto.</w:t>
      </w:r>
    </w:p>
    <w:p>
      <w:pPr>
        <w:spacing w:line="276" w:lineRule="auto" w:after="120"/>
        <w:ind w:firstLine="425"/>
        <w:jc w:val="both"/>
      </w:pPr>
      <w:r>
        <w:rPr>
          <w:rFonts w:ascii="Times New Roman" w:hAnsi="Times New Roman" w:cs="Times New Roman" w:eastAsia="Times New Roman"/>
          <w:b w:val="0"/>
          <w:sz w:val="24"/>
        </w:rPr>
        <w:t>Terza. Dallo studio risulta che il testo fu redatto in risposta a sedici quesiti posti dai detentori, dei quali l'organo elenca la materia; che l'interrogatorio non ebbe inizio subito dopo il sequestro ma nei primi giorni di aprile e si concluse verso la fine del medesimo mese; e che l'articolazione tematica non era stata percepita in precedenza a causa dello stato di confusione delle versioni, difformi persino nella numerazione delle pagine.</w:t>
      </w:r>
    </w:p>
    <w:p>
      <w:pPr>
        <w:spacing w:line="276" w:lineRule="auto" w:after="120"/>
        <w:ind w:firstLine="425"/>
        <w:jc w:val="both"/>
      </w:pPr>
      <w:r>
        <w:rPr>
          <w:rFonts w:ascii="Times New Roman" w:hAnsi="Times New Roman" w:cs="Times New Roman" w:eastAsia="Times New Roman"/>
          <w:b w:val="0"/>
          <w:sz w:val="24"/>
        </w:rPr>
        <w:t>Questa terza acquisizione tocca la scala del vincolo istituita dalla Fase Quarta. Quella scala gradua le proposizioni scritte sotto costrizione secondo l'intensità del vincolo che le governa; essa presuppone di sapere che cosa fosse stato domandato, poiché una risposta si valuta contro la domanda. Fino a oggi le domande erano ignote e la scala operava su enunciati privi del proprio contesto interrogativo. Le sedici materie, se confermate sull'atto, restituiscono quel contesto.</w:t>
      </w:r>
    </w:p>
    <w:p>
      <w:pPr>
        <w:spacing w:line="276" w:lineRule="auto" w:after="120"/>
        <w:ind w:firstLine="425"/>
        <w:jc w:val="both"/>
      </w:pPr>
      <w:r>
        <w:rPr>
          <w:rFonts w:ascii="Times New Roman" w:hAnsi="Times New Roman" w:cs="Times New Roman" w:eastAsia="Times New Roman"/>
          <w:b w:val="0"/>
          <w:sz w:val="24"/>
        </w:rPr>
        <w:t>Si dichiara che il presente atto non le recepisce nel corpo dell'opera e non muta alcun grado. Esse provengono da un'esposizione parlamentare di uno studio privato acquisito a un procedimento: tre passaggi, e la risalita si arresta al primo. Si iscrivono come acquisizione da conseguire.</w:t>
      </w:r>
    </w:p>
    <w:p>
      <w:pPr>
        <w:spacing w:line="276" w:lineRule="auto" w:after="120"/>
        <w:ind w:firstLine="425"/>
        <w:jc w:val="both"/>
      </w:pPr>
      <w:r>
        <w:rPr>
          <w:rFonts w:ascii="Times New Roman" w:hAnsi="Times New Roman" w:cs="Times New Roman" w:eastAsia="Times New Roman"/>
          <w:b w:val="0"/>
          <w:sz w:val="24"/>
        </w:rPr>
        <w:t>Voce ventinovesima — L'ordine interrogativo del testo della prigionia. Oggetto: lo studio filologico acquisito agli atti del quinto procedimento, e le sue risultanze quanto ai rinvii privi di referente e quanto all'articolazione del testo in risposte a quesiti determinati. Sede: atti del quinto procedimento presso l'ufficio competente; l'edizione a stampa dello studio, che è pubblica. Chiusura: acquisizione dello studio e verifica delle sue risultanze sul testo. Smentita: la constatazione che i rinvii privi di referente si spieghino con la confusione della numerazione anziché con sottrazioni, spiegazione che l'organo medesimo dichiara possibile quanto allo stato delle versioni.</w:t>
      </w:r>
    </w:p>
    <w:p>
      <w:pPr>
        <w:spacing w:line="276" w:lineRule="auto" w:after="120" w:before="240"/>
        <w:ind w:firstLine="0"/>
        <w:jc w:val="left"/>
      </w:pPr>
      <w:r>
        <w:rPr>
          <w:rFonts w:ascii="Times New Roman" w:hAnsi="Times New Roman" w:cs="Times New Roman" w:eastAsia="Times New Roman"/>
          <w:b/>
          <w:sz w:val="24"/>
        </w:rPr>
        <w:t>Parte sesta — Le classi dichiarative e la disciplina che vi si applica</w:t>
      </w:r>
    </w:p>
    <w:p>
      <w:pPr>
        <w:spacing w:line="276" w:lineRule="auto" w:after="120"/>
        <w:ind w:firstLine="425"/>
        <w:jc w:val="both"/>
      </w:pPr>
      <w:r>
        <w:rPr>
          <w:rFonts w:ascii="Times New Roman" w:hAnsi="Times New Roman" w:cs="Times New Roman" w:eastAsia="Times New Roman"/>
          <w:b w:val="0"/>
          <w:sz w:val="24"/>
        </w:rPr>
        <w:t>La relazione dedica una sezione a dichiarazioni provenienti da collaboratori di giustizia di ambienti criminali diversi, concernenti presunte attivazioni per la ricerca del prigioniero e presunti interessamenti di ambienti politici alla loro cessazione. Il presente atto non ne riferisce il contenuto, e la ragione va dichiarata.</w:t>
      </w:r>
    </w:p>
    <w:p>
      <w:pPr>
        <w:spacing w:line="276" w:lineRule="auto" w:after="120"/>
        <w:ind w:firstLine="425"/>
        <w:jc w:val="both"/>
      </w:pPr>
      <w:r>
        <w:rPr>
          <w:rFonts w:ascii="Times New Roman" w:hAnsi="Times New Roman" w:cs="Times New Roman" w:eastAsia="Times New Roman"/>
          <w:b w:val="0"/>
          <w:sz w:val="24"/>
        </w:rPr>
        <w:t>Queste dichiarazioni appartengono, nel repertorio critico dell'opera, a due classi con grado massimo dichiarato e a una terza con grado nullo. La prima è quella delle dichiarazioni di dissociati e collaboratori, originaria e interessata, con grado intermedio elevabile in caso di convergenza fra dichiaranti con interessi divergenti. La seconda è quella del de relato di secondo grado, derivata due volte, con grado minimo e con divieto espresso di impiego come conferma di altre fonti. La terza è quella delle esposizioni giornalistiche, che non conferisce grado alcuno.</w:t>
      </w:r>
    </w:p>
    <w:p>
      <w:pPr>
        <w:spacing w:line="276" w:lineRule="auto" w:after="120"/>
        <w:ind w:firstLine="425"/>
        <w:jc w:val="both"/>
      </w:pPr>
      <w:r>
        <w:rPr>
          <w:rFonts w:ascii="Times New Roman" w:hAnsi="Times New Roman" w:cs="Times New Roman" w:eastAsia="Times New Roman"/>
          <w:b w:val="0"/>
          <w:sz w:val="24"/>
        </w:rPr>
        <w:t>Gran parte del materiale qui in questione appartiene alla seconda classe: sono dichiarazioni su ciò che un terzo avrebbe detto a un quarto. Ad esse si applica il divieto, e il divieto è assoluto: non possono essere computate come conferma, quale che sia il loro numero e quale che sia la convergenza apparente fra esse. Si aggiunge la cautela introdotta dall'appendice seconda alla propria terza regola: dichiaranti che abbiano appreso il medesimo fatto dal medesimo ambiente non sono catene distinte, e la divergenza dei loro interessi controlla la sincerità e non l'indipendenza.</w:t>
      </w:r>
    </w:p>
    <w:p>
      <w:pPr>
        <w:spacing w:line="276" w:lineRule="auto" w:after="120"/>
        <w:ind w:firstLine="425"/>
        <w:jc w:val="both"/>
      </w:pPr>
      <w:r>
        <w:rPr>
          <w:rFonts w:ascii="Times New Roman" w:hAnsi="Times New Roman" w:cs="Times New Roman" w:eastAsia="Times New Roman"/>
          <w:b w:val="0"/>
          <w:sz w:val="24"/>
        </w:rPr>
        <w:t>Si registra soltanto ciò che è designabile per atto e che appartiene al genere dell'opera: una delle dichiarazioni riportate è riprodotta in un atto parlamentare recante segnatura completa, ed è la domanda di autorizzazione a procedere stampata come atto del Senato, documento IV numero 179, XI legislatura. Di essa si registra l'esistenza e la segnatura, e null'altro.</w:t>
      </w:r>
    </w:p>
    <w:p>
      <w:pPr>
        <w:spacing w:line="276" w:lineRule="auto" w:after="120"/>
        <w:ind w:firstLine="425"/>
        <w:jc w:val="both"/>
      </w:pPr>
      <w:r>
        <w:rPr>
          <w:rFonts w:ascii="Times New Roman" w:hAnsi="Times New Roman" w:cs="Times New Roman" w:eastAsia="Times New Roman"/>
          <w:b w:val="0"/>
          <w:sz w:val="24"/>
        </w:rPr>
        <w:t>Si dichiara espressamente che l'organo medesimo, nelle proprie conclusioni, afferma che non sono emersi elementi certi che consentano di affermare l'eterodirezione dell'organizzazione, e formula quanto all'attivazione di ambienti criminali una proposizione dichiaratamente non risolta. L'opera recepisce questa formulazione al grado che essa reca, che è quello di una valutazione di organo qualificato, e non oltre.</w:t>
      </w:r>
    </w:p>
    <w:p>
      <w:pPr>
        <w:spacing w:line="276" w:lineRule="auto" w:after="120" w:before="240"/>
        <w:ind w:firstLine="0"/>
        <w:jc w:val="left"/>
      </w:pPr>
      <w:r>
        <w:rPr>
          <w:rFonts w:ascii="Times New Roman" w:hAnsi="Times New Roman" w:cs="Times New Roman" w:eastAsia="Times New Roman"/>
          <w:b/>
          <w:sz w:val="24"/>
        </w:rPr>
        <w:t>Parte settima — Gli otto interrogativi residui e la loro designazione</w:t>
      </w:r>
    </w:p>
    <w:p>
      <w:pPr>
        <w:spacing w:line="276" w:lineRule="auto" w:after="120"/>
        <w:ind w:firstLine="425"/>
        <w:jc w:val="both"/>
      </w:pPr>
      <w:r>
        <w:rPr>
          <w:rFonts w:ascii="Times New Roman" w:hAnsi="Times New Roman" w:cs="Times New Roman" w:eastAsia="Times New Roman"/>
          <w:b w:val="0"/>
          <w:sz w:val="24"/>
        </w:rPr>
        <w:t>La relazione richiama gli interrogativi già dichiarati irrisolti dalla relazione conclusiva della X legislatura, documento XXIII numero 49, ed essi sono otto: l'esatta dinamica dei fatti del sedici marzo e del rapimento; la scomparsa, nel corso della prima istruttoria, di un rullino fotografico contenente immagini dell'agguato; l'eventuale presenza di elementi della criminalità organizzata sul luogo dell'agguato; il blocco di linee telefoniche in coincidenza con i fatti e, successivamente, con la diffusione di un comunicato; l'individuazione del luogo di prigionia; l'identificazione di un quarto uomo nella base e la sua eventuale appartenenza a formazioni diverse; l'identificazione della persona che nell'appartamento risiedeva sotto identità apparente; la vicenda del comunicato apocrifo.</w:t>
      </w:r>
    </w:p>
    <w:p>
      <w:pPr>
        <w:spacing w:line="276" w:lineRule="auto" w:after="120"/>
        <w:ind w:firstLine="425"/>
        <w:jc w:val="both"/>
      </w:pPr>
      <w:r>
        <w:rPr>
          <w:rFonts w:ascii="Times New Roman" w:hAnsi="Times New Roman" w:cs="Times New Roman" w:eastAsia="Times New Roman"/>
          <w:b w:val="0"/>
          <w:sz w:val="24"/>
        </w:rPr>
        <w:t>Si registra che due di questi otto sono stati risolti negli anni successivi, e che l'opera li tratta come risolti: il luogo di prigionia e l'identificazione della persona sotto identità apparente. Si registra altresì che uno di essi — la scomparsa del rullino fotografico nel corso della prima istruttoria — non figura nella tavola delle acquisizioni necessarie dell'opera, e che la sua assenza è una lacuna della tavola e non della relazione.</w:t>
      </w:r>
    </w:p>
    <w:p>
      <w:pPr>
        <w:spacing w:line="276" w:lineRule="auto" w:after="120"/>
        <w:ind w:firstLine="425"/>
        <w:jc w:val="both"/>
      </w:pPr>
      <w:r>
        <w:rPr>
          <w:rFonts w:ascii="Times New Roman" w:hAnsi="Times New Roman" w:cs="Times New Roman" w:eastAsia="Times New Roman"/>
          <w:b w:val="0"/>
          <w:sz w:val="24"/>
        </w:rPr>
        <w:t>Voce trentesima — Il rullino fotografico scomparso nella prima istruttoria. Oggetto: gli atti relativi alla formazione, all'acquisizione e alla scomparsa del rullino contenente immagini dell'agguato, e la documentazione degli accertamenti condotti all'epoca sulla scomparsa. Sede: atti del primo procedimento; atti della Commissione della VIII legislatura. Chiusura: reperimento degli atti di acquisizione e di quelli relativi alla scomparsa. Smentita: la constatazione che il rullino non fosse mai stato acquisito agli atti, nel qual caso non vi sarebbe scomparsa ma mancata acquisizione, che è figura diversa e va trattata come tale.</w:t>
      </w:r>
    </w:p>
    <w:p>
      <w:pPr>
        <w:spacing w:line="276" w:lineRule="auto" w:after="120" w:before="240"/>
        <w:ind w:firstLine="0"/>
        <w:jc w:val="left"/>
      </w:pPr>
      <w:r>
        <w:rPr>
          <w:rFonts w:ascii="Times New Roman" w:hAnsi="Times New Roman" w:cs="Times New Roman" w:eastAsia="Times New Roman"/>
          <w:b/>
          <w:sz w:val="24"/>
        </w:rPr>
        <w:t>Parte ottava — Mutazioni di stato e Stati Zero</w:t>
      </w:r>
    </w:p>
    <w:p>
      <w:pPr>
        <w:spacing w:line="276" w:lineRule="auto" w:after="120"/>
        <w:ind w:firstLine="425"/>
        <w:jc w:val="both"/>
      </w:pPr>
      <w:r>
        <w:rPr>
          <w:rFonts w:ascii="Times New Roman" w:hAnsi="Times New Roman" w:cs="Times New Roman" w:eastAsia="Times New Roman"/>
          <w:b w:val="0"/>
          <w:sz w:val="24"/>
        </w:rPr>
        <w:t>Si registrano le mutazioni. La Voce ventesima progredisce quanto agli strumenti e non quanto al numero: essa dispone ora dell'indicazione di un repertorio generale che, se acquisito, la esaurirebbe per la parte degli atti transitati per una sede determinata. Si iscrivono le Voci ventisettesima, ventottesima, ventinovesima e trentesima. Nessun grado di alcuna proposizione dell'opera muta.</w:t>
      </w:r>
    </w:p>
    <w:p>
      <w:pPr>
        <w:spacing w:line="276" w:lineRule="auto" w:after="120"/>
        <w:ind w:firstLine="425"/>
        <w:jc w:val="both"/>
      </w:pPr>
      <w:r>
        <w:rPr>
          <w:rFonts w:ascii="Times New Roman" w:hAnsi="Times New Roman" w:cs="Times New Roman" w:eastAsia="Times New Roman"/>
          <w:b w:val="0"/>
          <w:sz w:val="24"/>
        </w:rPr>
        <w:t>Si dichiarano gli Stati Zero. Primo: non è accertato se la raccomandazione di acquisire l'oggetto degli atti repertati sia stata eseguita dall'organismo successivo. Secondo: non è accertato se il repertorio generale rechi, per ciascuna voce, l'oggetto dell'atto ovvero il solo estremo di protocollo. Terzo: la relazione conclusiva della X legislatura, documento XXIII numero 49, non è posseduta, ed è la fonte alla quale la presente rinvia in quattro punti; il suo reperimento è preliminare a quattro delle acquisizioni qui iscritte. Quarto: gli atti della Commissione della VIII legislatura, documento XXIII numero 5, non sono posseduti, e il volume sesto è quello che reca l'occorrenza anteriore di cui alla Parte quarta.</w:t>
      </w:r>
    </w:p>
    <w:p>
      <w:pPr>
        <w:spacing w:line="276" w:lineRule="auto" w:after="120"/>
        <w:ind w:firstLine="425"/>
        <w:jc w:val="both"/>
      </w:pPr>
      <w:r>
        <w:rPr>
          <w:rFonts w:ascii="Times New Roman" w:hAnsi="Times New Roman" w:cs="Times New Roman" w:eastAsia="Times New Roman"/>
          <w:b w:val="0"/>
          <w:sz w:val="24"/>
        </w:rPr>
        <w:t>Si osservi che il terzo e il quarto Stato Zero riguardano documenti a stampa degli atti parlamentari, pubblici e privi di regime di riservatezza. Essi appartengono, come la terza divergenza della Voce venticinquesima, alla classe delle acquisizioni che richiedono la consultazione di un volume.</w:t>
      </w:r>
    </w:p>
    <w:p>
      <w:pPr>
        <w:spacing w:line="276" w:lineRule="auto" w:after="120" w:before="240"/>
        <w:ind w:firstLine="0"/>
        <w:jc w:val="left"/>
      </w:pPr>
      <w:r>
        <w:rPr>
          <w:rFonts w:ascii="Times New Roman" w:hAnsi="Times New Roman" w:cs="Times New Roman" w:eastAsia="Times New Roman"/>
          <w:b/>
          <w:sz w:val="24"/>
        </w:rPr>
        <w:t>Riga di giornale</w:t>
      </w:r>
    </w:p>
    <w:p>
      <w:pPr>
        <w:spacing w:line="276" w:lineRule="auto" w:after="120"/>
        <w:ind w:firstLine="425"/>
        <w:jc w:val="both"/>
      </w:pPr>
      <w:r>
        <w:rPr>
          <w:rFonts w:ascii="Times New Roman" w:hAnsi="Times New Roman" w:cs="Times New Roman" w:eastAsia="Times New Roman"/>
          <w:b w:val="0"/>
          <w:sz w:val="24"/>
        </w:rPr>
        <w:t>Riga del quindici agosto duemilaventisei, quarta del giorno sul medesimo cantiere. Cantiere: designazione per atto delle fonti. Materia: la prima unità di produzione della serie, relazione parlamentare della XI legislatura sugli sviluppi del caso.</w:t>
      </w:r>
    </w:p>
    <w:p>
      <w:pPr>
        <w:spacing w:line="276" w:lineRule="auto" w:after="120"/>
        <w:ind w:firstLine="425"/>
        <w:jc w:val="both"/>
      </w:pPr>
      <w:r>
        <w:rPr>
          <w:rFonts w:ascii="Times New Roman" w:hAnsi="Times New Roman" w:cs="Times New Roman" w:eastAsia="Times New Roman"/>
          <w:b w:val="0"/>
          <w:sz w:val="24"/>
        </w:rPr>
        <w:t>Esito positivo: individuazione dell'esistenza e della sede di un repertorio generale di tutti gli atti concernenti il caso transitati per il Gabinetto del Ministro dell'interno, con iscrizione della voce corrispondente; tre discontinuità documentate, delle quali una nella forma dell'ordine presente al destinatario e assente all'emittente; accertamento che i comitati di crisi non produssero atto d'insediamento né verbalizzazione, con conseguente qualificazione del valore e del limite dell'unità quarantaduesima; documentazione di un collasso genealogico di tredici anni fra una rivelazione del millenovecentonovantatré e un atto parlamentare a stampa del millenovecentottanta, con segnatura completa; individuazione dell'esame crittografico degli scritti della prigionia; individuazione dell'articolazione del testo della prigionia in risposte a sedici quesiti determinati; enunciazione della nona e della decima regola della risalita; quattro voci nuove iscritte in tavola.</w:t>
      </w:r>
    </w:p>
    <w:p>
      <w:pPr>
        <w:spacing w:line="276" w:lineRule="auto" w:after="120"/>
        <w:ind w:firstLine="425"/>
        <w:jc w:val="both"/>
      </w:pPr>
      <w:r>
        <w:rPr>
          <w:rFonts w:ascii="Times New Roman" w:hAnsi="Times New Roman" w:cs="Times New Roman" w:eastAsia="Times New Roman"/>
          <w:b w:val="0"/>
          <w:sz w:val="24"/>
        </w:rPr>
        <w:t>Esito negativo: la relazione conclusiva della X legislatura e gli atti della Commissione della VIII non sono posseduti, e sono documenti a stampa pubblici; non è accertata l'esecuzione della raccomandazione sul repertorio; non è accertata la forma delle voci del repertorio.</w:t>
      </w:r>
    </w:p>
    <w:p>
      <w:pPr>
        <w:spacing w:line="276" w:lineRule="auto" w:after="120"/>
        <w:ind w:firstLine="425"/>
        <w:jc w:val="both"/>
      </w:pPr>
      <w:r>
        <w:rPr>
          <w:rFonts w:ascii="Times New Roman" w:hAnsi="Times New Roman" w:cs="Times New Roman" w:eastAsia="Times New Roman"/>
          <w:b w:val="0"/>
          <w:sz w:val="24"/>
        </w:rPr>
        <w:t>Riga di lacuna propria. Uno degli otto interrogativi dichiarati irrisolti dalla Commissione della X legislatura non figura nella tavola delle acquisizioni necessarie dell'opera, ed è la scomparsa di un rullino fotografico nel corso della prima istruttoria. L'omissione è dell'opera. Si registra che essa non deriva da una valutazione di irrilevanza, poiché nessuna valutazione risulta essere stata compiuta: l'elemento non era stato censito.</w:t>
      </w:r>
    </w:p>
    <w:p>
      <w:pPr>
        <w:spacing w:line="276" w:lineRule="auto" w:after="120"/>
        <w:ind w:firstLine="425"/>
        <w:jc w:val="both"/>
      </w:pPr>
      <w:r>
        <w:rPr>
          <w:rFonts w:ascii="Times New Roman" w:hAnsi="Times New Roman" w:cs="Times New Roman" w:eastAsia="Times New Roman"/>
          <w:b w:val="0"/>
          <w:sz w:val="24"/>
        </w:rPr>
        <w:t>Riga di avvertenza. La relazione qui esaminata contiene dichiarazioni di terzi su condotte di persone determinate, riportate dall'organo con la qualificazione che i loro autori vi apposero. Il presente atto non ne riferisce il contenuto e non lo recepisce ad alcun grado. Si è riportata la sola formulazione conclusiva dell'organo, e la si è riportata al grado che le compete, che è quello della valutazione di organo qualificato e non quello dell'accertamento.</w:t>
      </w:r>
    </w:p>
    <w:p>
      <w:pPr>
        <w:spacing w:line="276" w:lineRule="auto" w:after="120" w:before="240"/>
        <w:ind w:firstLine="0"/>
        <w:jc w:val="left"/>
      </w:pPr>
      <w:r>
        <w:rPr>
          <w:rFonts w:ascii="Times New Roman" w:hAnsi="Times New Roman" w:cs="Times New Roman" w:eastAsia="Times New Roman"/>
          <w:b/>
          <w:sz w:val="24"/>
        </w:rPr>
        <w:t>Colophon</w:t>
      </w:r>
    </w:p>
    <w:p>
      <w:pPr>
        <w:spacing w:line="276" w:lineRule="auto" w:after="120"/>
        <w:ind w:firstLine="425"/>
        <w:jc w:val="both"/>
      </w:pPr>
      <w:r>
        <w:rPr>
          <w:rFonts w:ascii="Times New Roman" w:hAnsi="Times New Roman" w:cs="Times New Roman" w:eastAsia="Times New Roman"/>
          <w:b w:val="0"/>
          <w:sz w:val="24"/>
        </w:rPr>
        <w:t>APPENDICE SESTA ALLA FASE SETTIMA, la prima unità di produzione, quindici agosto duemilaventisei. I settanta Capitoli restano settanta. Le redazioni anteriori non sono modificate: le pietre deposte non si scalpellano. Resta sovrana la Regola di Ferro: dove la fonte documenta, l'opera certifica; dove la fonte tace, l'opera indaga e non afferma. Una rivelazione è un atto di esposizione, e prima di computarla come nuova se ne cerchi l'occorrenza anteriore negli atti a stampa. Autore e direttore dell'opera: Luigi De Michele.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