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ind w:firstLine="0"/>
        <w:jc w:val="center"/>
      </w:pPr>
      <w:r>
        <w:rPr>
          <w:rFonts w:ascii="Times New Roman" w:hAnsi="Times New Roman" w:cs="Times New Roman" w:eastAsia="Times New Roman"/>
          <w:b/>
          <w:sz w:val="24"/>
        </w:rPr>
        <w:t>ALDO MORO</w:t>
      </w:r>
    </w:p>
    <w:p>
      <w:pPr>
        <w:spacing w:line="276" w:lineRule="auto" w:after="120"/>
        <w:ind w:firstLine="0"/>
        <w:jc w:val="center"/>
      </w:pPr>
      <w:r>
        <w:rPr>
          <w:rFonts w:ascii="Times New Roman" w:hAnsi="Times New Roman" w:cs="Times New Roman" w:eastAsia="Times New Roman"/>
          <w:b/>
          <w:sz w:val="24"/>
        </w:rPr>
        <w:t>IL REGISTRO DEI CINQUANTACINQUE GIORNI</w:t>
      </w:r>
    </w:p>
    <w:p>
      <w:pPr>
        <w:spacing w:line="276" w:lineRule="auto" w:after="120"/>
        <w:ind w:firstLine="0"/>
        <w:jc w:val="center"/>
      </w:pPr>
      <w:r>
        <w:rPr>
          <w:rFonts w:ascii="Times New Roman" w:hAnsi="Times New Roman" w:cs="Times New Roman" w:eastAsia="Times New Roman"/>
          <w:b/>
          <w:sz w:val="24"/>
        </w:rPr>
        <w:t>APPENDICE TERZA ALLA FASE SETTIMA</w:t>
      </w:r>
    </w:p>
    <w:p>
      <w:pPr>
        <w:spacing w:line="276" w:lineRule="auto" w:after="120"/>
        <w:ind w:firstLine="0"/>
        <w:jc w:val="center"/>
      </w:pPr>
      <w:r>
        <w:rPr>
          <w:rFonts w:ascii="Times New Roman" w:hAnsi="Times New Roman" w:cs="Times New Roman" w:eastAsia="Times New Roman"/>
          <w:b/>
          <w:sz w:val="24"/>
        </w:rPr>
        <w:t>Primo repertorio di designazione per atto</w:t>
      </w:r>
    </w:p>
    <w:p>
      <w:pPr>
        <w:spacing w:line="276" w:lineRule="auto" w:after="120"/>
        <w:ind w:firstLine="0"/>
        <w:jc w:val="center"/>
      </w:pPr>
      <w:r>
        <w:rPr>
          <w:rFonts w:ascii="Times New Roman" w:hAnsi="Times New Roman" w:cs="Times New Roman" w:eastAsia="Times New Roman"/>
          <w:b/>
          <w:sz w:val="24"/>
        </w:rPr>
        <w:t>Esecuzione parziale della Voce ventesima</w:t>
      </w:r>
    </w:p>
    <w:p>
      <w:pPr>
        <w:spacing w:line="276" w:lineRule="auto" w:after="120"/>
        <w:ind w:firstLine="0"/>
        <w:jc w:val="center"/>
      </w:pPr>
      <w:r>
        <w:rPr>
          <w:rFonts w:ascii="Times New Roman" w:hAnsi="Times New Roman" w:cs="Times New Roman" w:eastAsia="Times New Roman"/>
          <w:b/>
          <w:sz w:val="24"/>
        </w:rPr>
        <w:t>Il fascicolo MORO della Commissione parlamentare d'inchiesta sul terrorismo in Italia, X legislatura</w:t>
      </w:r>
    </w:p>
    <w:p>
      <w:pPr>
        <w:spacing w:line="276" w:lineRule="auto" w:after="120"/>
        <w:ind w:firstLine="0"/>
        <w:jc w:val="center"/>
      </w:pPr>
      <w:r>
        <w:rPr>
          <w:rFonts w:ascii="Times New Roman" w:hAnsi="Times New Roman" w:cs="Times New Roman" w:eastAsia="Times New Roman"/>
          <w:b/>
          <w:sz w:val="24"/>
        </w:rPr>
        <w:t>Luigi De Michele</w:t>
      </w:r>
    </w:p>
    <w:p>
      <w:pPr>
        <w:spacing w:line="276" w:lineRule="auto" w:after="120"/>
        <w:ind w:firstLine="0"/>
        <w:jc w:val="center"/>
      </w:pPr>
      <w:r>
        <w:rPr>
          <w:rFonts w:ascii="Times New Roman" w:hAnsi="Times New Roman" w:cs="Times New Roman" w:eastAsia="Times New Roman"/>
          <w:b/>
          <w:sz w:val="24"/>
        </w:rPr>
        <w:t>15 agosto 2026</w:t>
      </w:r>
    </w:p>
    <w:p>
      <w:pPr>
        <w:spacing w:line="276" w:lineRule="auto" w:after="120" w:before="240"/>
        <w:ind w:firstLine="0"/>
        <w:jc w:val="left"/>
      </w:pPr>
      <w:r>
        <w:rPr>
          <w:rFonts w:ascii="Times New Roman" w:hAnsi="Times New Roman" w:cs="Times New Roman" w:eastAsia="Times New Roman"/>
          <w:b/>
          <w:sz w:val="24"/>
        </w:rPr>
        <w:t>Atto di edizione dell'appendice terza</w:t>
      </w:r>
    </w:p>
    <w:p>
      <w:pPr>
        <w:spacing w:line="276" w:lineRule="auto" w:after="120"/>
        <w:ind w:firstLine="425"/>
        <w:jc w:val="both"/>
      </w:pPr>
      <w:r>
        <w:rPr>
          <w:rFonts w:ascii="Times New Roman" w:hAnsi="Times New Roman" w:cs="Times New Roman" w:eastAsia="Times New Roman"/>
          <w:b w:val="0"/>
          <w:sz w:val="24"/>
        </w:rPr>
        <w:t>La presente è appendice terza alla Fase Settima ed esegue in parte la Voce ventesima della tavola, iscritta il medesimo giorno dall'appendice seconda, la quale prescrive di sostituire la designazione delle fonti per classe con la designazione per atto, recante protocollo, data, ufficio emittente e segnatura ove disponibile. Come le due anteriori, essa non modifica alcun Capitolo e non ne aggiunge di nuovi: i settanta restano settanta.</w:t>
      </w:r>
    </w:p>
    <w:p>
      <w:pPr>
        <w:spacing w:line="276" w:lineRule="auto" w:after="120"/>
        <w:ind w:firstLine="425"/>
        <w:jc w:val="both"/>
      </w:pPr>
      <w:r>
        <w:rPr>
          <w:rFonts w:ascii="Times New Roman" w:hAnsi="Times New Roman" w:cs="Times New Roman" w:eastAsia="Times New Roman"/>
          <w:b w:val="0"/>
          <w:sz w:val="24"/>
        </w:rPr>
        <w:t>L'appendice seconda si era chiusa su una cifra e su una diagnosi. La cifra era due su sessantaquattro: due sole delle proposizioni che conferiscono il grado massimo per convergenza designano le proprie fonti in forma che consenta la risalita. La diagnosi era che il difetto fosse interno all'opera e che la sua correzione fosse operazione redazionale e non archivistica. Entrambe restano vere. Il presente atto aggiunge una circostanza che nessuna delle due prevedeva, ed è che una parte del materiale necessario alla correzione era già posseduta e non era stata aperta.</w:t>
      </w:r>
    </w:p>
    <w:p>
      <w:pPr>
        <w:spacing w:line="276" w:lineRule="auto" w:after="120"/>
        <w:ind w:firstLine="425"/>
        <w:jc w:val="both"/>
      </w:pPr>
      <w:r>
        <w:rPr>
          <w:rFonts w:ascii="Times New Roman" w:hAnsi="Times New Roman" w:cs="Times New Roman" w:eastAsia="Times New Roman"/>
          <w:b w:val="0"/>
          <w:sz w:val="24"/>
        </w:rPr>
        <w:t>Va dunque registrato prima di ogni altra cosa, e a sfavore di chi scrive, che il differimento della designazione per atto non ha avuto per causa la sola estensione impropria della regola della funzione. Ha avuto per concausa un difetto di ricognizione sui materiali disponibili. Un'opera che dichiari Stati Zero deve avere interrogato ciò che possiede prima di dichiarare muto ciò che non possiede, e questa precedenza non era stata osservata.</w:t>
      </w:r>
    </w:p>
    <w:p>
      <w:pPr>
        <w:spacing w:line="276" w:lineRule="auto" w:after="120" w:before="240"/>
        <w:ind w:firstLine="0"/>
        <w:jc w:val="left"/>
      </w:pPr>
      <w:r>
        <w:rPr>
          <w:rFonts w:ascii="Times New Roman" w:hAnsi="Times New Roman" w:cs="Times New Roman" w:eastAsia="Times New Roman"/>
          <w:b/>
          <w:sz w:val="24"/>
        </w:rPr>
        <w:t>Parte prima — La fonte del repertorio e il suo statuto</w:t>
      </w:r>
    </w:p>
    <w:p>
      <w:pPr>
        <w:spacing w:line="276" w:lineRule="auto" w:after="120"/>
        <w:ind w:firstLine="425"/>
        <w:jc w:val="both"/>
      </w:pPr>
      <w:r>
        <w:rPr>
          <w:rFonts w:ascii="Times New Roman" w:hAnsi="Times New Roman" w:cs="Times New Roman" w:eastAsia="Times New Roman"/>
          <w:b w:val="0"/>
          <w:sz w:val="24"/>
        </w:rPr>
        <w:t>La fonte è la serie dei processi verbali della Commissione parlamentare d'inchiesta sul terrorismo in Italia e sulle cause della mancata individuazione dei responsabili delle stragi, X legislatura, presidenza del senatore Gualtieri. Ogni processo verbale si apre con l'elenco dei documenti che la Commissione acquisisce formalmente agli atti dell'inchiesta, e ciascun documento vi compare con l'ufficio che lo ha emesso, la data dell'atto, la data di pervenimento, l'oggetto in forma analitica, il regime di riservatezza e una chiave di catalogo per fascicolo tematico.</w:t>
      </w:r>
    </w:p>
    <w:p>
      <w:pPr>
        <w:spacing w:line="276" w:lineRule="auto" w:after="120"/>
        <w:ind w:firstLine="425"/>
        <w:jc w:val="both"/>
      </w:pPr>
      <w:r>
        <w:rPr>
          <w:rFonts w:ascii="Times New Roman" w:hAnsi="Times New Roman" w:cs="Times New Roman" w:eastAsia="Times New Roman"/>
          <w:b w:val="0"/>
          <w:sz w:val="24"/>
        </w:rPr>
        <w:t>Lo statuto di questa fonte va enunciato con esattezza, poiché è precisamente il punto sul quale la verifica genealogica ha stabilito la regola. Il processo verbale è produzione piena e originaria quanto a un solo fatto, che è l'acquisizione: che un documento sia stato acquisito, da quale ufficio provenisse, in quale data e con quale oggetto, è attestato dal verbale e non richiede altra fonte. Di ciò che il documento acquisito attesta il verbale non è fonte alcuna, e la catena resta l'atto che lo produsse.</w:t>
      </w:r>
    </w:p>
    <w:p>
      <w:pPr>
        <w:spacing w:line="276" w:lineRule="auto" w:after="120"/>
        <w:ind w:firstLine="425"/>
        <w:jc w:val="both"/>
      </w:pPr>
      <w:r>
        <w:rPr>
          <w:rFonts w:ascii="Times New Roman" w:hAnsi="Times New Roman" w:cs="Times New Roman" w:eastAsia="Times New Roman"/>
          <w:b w:val="0"/>
          <w:sz w:val="24"/>
        </w:rPr>
        <w:t>Ne segue che questa serie non è, per l'opera, una fonte di fatti sul caso. È un repertorio di reperimento: essa non dice che cosa sia accaduto, dice dove cercarlo e con quali estremi domandarlo. È esattamente ciò che la Voce ventesima richiede e nulla di più, e chi ne traesse asserzioni sul merito farebbe l'errore che l'appendice seconda ha censito come primo.</w:t>
      </w:r>
    </w:p>
    <w:p>
      <w:pPr>
        <w:spacing w:line="276" w:lineRule="auto" w:after="120" w:before="240"/>
        <w:ind w:firstLine="0"/>
        <w:jc w:val="left"/>
      </w:pPr>
      <w:r>
        <w:rPr>
          <w:rFonts w:ascii="Times New Roman" w:hAnsi="Times New Roman" w:cs="Times New Roman" w:eastAsia="Times New Roman"/>
          <w:b/>
          <w:sz w:val="24"/>
        </w:rPr>
        <w:t>Parte seconda — Il censimento e le sue lacune</w:t>
      </w:r>
    </w:p>
    <w:p>
      <w:pPr>
        <w:spacing w:line="276" w:lineRule="auto" w:after="120"/>
        <w:ind w:firstLine="425"/>
        <w:jc w:val="both"/>
      </w:pPr>
      <w:r>
        <w:rPr>
          <w:rFonts w:ascii="Times New Roman" w:hAnsi="Times New Roman" w:cs="Times New Roman" w:eastAsia="Times New Roman"/>
          <w:b w:val="0"/>
          <w:sz w:val="24"/>
        </w:rPr>
        <w:t>La serie posseduta comprende settantacinque processi verbali su centodue, dalla seconda alla centoduesima seduta. Ventisette mancano, e sono le sedute prima, ventottesima, trentunesima, trentaduesima, trentaquattresima, trentacinquesima, trentaseiesima, quarantesima, quarantaduesima, quarantatreesima, quarantaquattresima, quarantaseiesima, quarantottesima, quarantanovesima, cinquantesima, cinquantatreesima, cinquantaquattresima, cinquantacinquesima, cinquantaseiesima, cinquantasettesima, sessantesima, sessantacinquesima, sessantaseiesima, sessantasettesima, settantasettesima, ottantaseiesima e novantatreesima.</w:t>
      </w:r>
    </w:p>
    <w:p>
      <w:pPr>
        <w:spacing w:line="276" w:lineRule="auto" w:after="120"/>
        <w:ind w:firstLine="425"/>
        <w:jc w:val="both"/>
      </w:pPr>
      <w:r>
        <w:rPr>
          <w:rFonts w:ascii="Times New Roman" w:hAnsi="Times New Roman" w:cs="Times New Roman" w:eastAsia="Times New Roman"/>
          <w:b w:val="0"/>
          <w:sz w:val="24"/>
        </w:rPr>
        <w:t>Il fascicolo tematico dedicato al caso reca la chiave MORO. Nelle sedute possedute esso compare per la prima volta alla sessantatreesima seduta, del trentuno ottobre millenovecentonovanta, con l'unità quattordicesima, e vi ricorre fino all'unità quarantaseiesima, acquisita alla centoduesima seduta. Le unità individuate per estremi sono ventinove.</w:t>
      </w:r>
    </w:p>
    <w:p>
      <w:pPr>
        <w:spacing w:line="276" w:lineRule="auto" w:after="120"/>
        <w:ind w:firstLine="425"/>
        <w:jc w:val="both"/>
      </w:pPr>
      <w:r>
        <w:rPr>
          <w:rFonts w:ascii="Times New Roman" w:hAnsi="Times New Roman" w:cs="Times New Roman" w:eastAsia="Times New Roman"/>
          <w:b w:val="0"/>
          <w:sz w:val="24"/>
        </w:rPr>
        <w:t>Le lacune della serie tematica si dichiarano una per una. Mancano le unità dalla prima alla tredicesima, anteriori alla sessantatreesima seduta e non reperibili nelle sedute possedute. Mancano le unità quindicesima, venticinquesima, ventiseiesima, ventisettesima, quarantaquattresima e quarantacinquesima, le quali cadono in sedute non possedute. Complessivamente diciannove unità del fascicolo non sono individuate.</w:t>
      </w:r>
    </w:p>
    <w:p>
      <w:pPr>
        <w:spacing w:line="276" w:lineRule="auto" w:after="120"/>
        <w:ind w:firstLine="425"/>
        <w:jc w:val="both"/>
      </w:pPr>
      <w:r>
        <w:rPr>
          <w:rFonts w:ascii="Times New Roman" w:hAnsi="Times New Roman" w:cs="Times New Roman" w:eastAsia="Times New Roman"/>
          <w:b w:val="0"/>
          <w:sz w:val="24"/>
        </w:rPr>
        <w:t>La condizione di chiusura di questa lacuna è determinata e non richiede alcuna concessione discrezionale: sono i processi verbali delle ventisette sedute mancanti, che appartengono agli atti di una Commissione parlamentare conclusa e sono conservati presso l'archivio storico del ramo del Parlamento competente. Si tratta di un reperimento e non di una desecretazione.</w:t>
      </w:r>
    </w:p>
    <w:p>
      <w:pPr>
        <w:spacing w:line="276" w:lineRule="auto" w:after="120" w:before="240"/>
        <w:ind w:firstLine="0"/>
        <w:jc w:val="left"/>
      </w:pPr>
      <w:r>
        <w:rPr>
          <w:rFonts w:ascii="Times New Roman" w:hAnsi="Times New Roman" w:cs="Times New Roman" w:eastAsia="Times New Roman"/>
          <w:b/>
          <w:sz w:val="24"/>
        </w:rPr>
        <w:t>Parte terza — Le designazioni conseguite</w:t>
      </w:r>
    </w:p>
    <w:p>
      <w:pPr>
        <w:spacing w:line="276" w:lineRule="auto" w:after="120"/>
        <w:ind w:firstLine="425"/>
        <w:jc w:val="both"/>
      </w:pPr>
      <w:r>
        <w:rPr>
          <w:rFonts w:ascii="Times New Roman" w:hAnsi="Times New Roman" w:cs="Times New Roman" w:eastAsia="Times New Roman"/>
          <w:b w:val="0"/>
          <w:sz w:val="24"/>
        </w:rPr>
        <w:t>Si espongono le ventinove unità raggruppate non per numero di catalogo ma per la classe di fonti dell'opera che ciascuna consente di designare per atto, poiché è questa la funzione che la Voce ventesima assegna al repertorio. Per ciascun gruppo si dichiara che cosa muta e che cosa non muta.</w:t>
      </w:r>
    </w:p>
    <w:p>
      <w:pPr>
        <w:spacing w:line="276" w:lineRule="auto" w:after="120" w:before="240"/>
        <w:ind w:firstLine="0"/>
        <w:jc w:val="left"/>
      </w:pPr>
      <w:r>
        <w:rPr>
          <w:rFonts w:ascii="Times New Roman" w:hAnsi="Times New Roman" w:cs="Times New Roman" w:eastAsia="Times New Roman"/>
          <w:b/>
          <w:sz w:val="24"/>
        </w:rPr>
        <w:t>Gruppo primo — La perquisizione dell'ottobre 1978 e il rinvenimento del 1990</w:t>
      </w:r>
    </w:p>
    <w:p>
      <w:pPr>
        <w:spacing w:line="276" w:lineRule="auto" w:after="120"/>
        <w:ind w:firstLine="425"/>
        <w:jc w:val="both"/>
      </w:pPr>
      <w:r>
        <w:rPr>
          <w:rFonts w:ascii="Times New Roman" w:hAnsi="Times New Roman" w:cs="Times New Roman" w:eastAsia="Times New Roman"/>
          <w:b w:val="0"/>
          <w:sz w:val="24"/>
        </w:rPr>
        <w:t>È il gruppo di gran lunga più consistente, e serve la Voce prima della tavola, la quale domanda i verbali e i rilievi della perquisizione dell'ottobre millenovecentosettantotto confrontati con quelli del secondo rinvenimento del millenovecentonovanta, ed è la sola voce per la quale la via di discriminazione fra le spiegazioni dell'incompletezza sia indicata con precisione.</w:t>
      </w:r>
    </w:p>
    <w:p>
      <w:pPr>
        <w:spacing w:line="276" w:lineRule="auto" w:after="120"/>
        <w:ind w:firstLine="425"/>
        <w:jc w:val="both"/>
      </w:pPr>
      <w:r>
        <w:rPr>
          <w:rFonts w:ascii="Times New Roman" w:hAnsi="Times New Roman" w:cs="Times New Roman" w:eastAsia="Times New Roman"/>
          <w:b w:val="0"/>
          <w:sz w:val="24"/>
        </w:rPr>
        <w:t>L'unità trentaseiesima terza reca, per trasmissione della Procura della Repubblica presso il Tribunale di Milano, copia dei rilievi fotografici eseguiti il primo ottobre millenovecentosettantotto dal Reparto Operativo dei Carabinieri di Milano in occasione della perquisizione, unitamente alle videocassette delle attività di polizia giudiziaria compiute nel procedimento sul rinvenimento del millenovecentonovanta. L'unità trentaseiesima seconda reca i fascicoli dei rilievi tecnici del Servizio di Polizia Scientifica del Ministero dell'Interno relativi al ritrovamento del nove ottobre millenovecentonovanta, trasmessi su incarico del sostituto procuratore Pomarici e pervenuti il quindici ottobre millenovecentonovantuno.</w:t>
      </w:r>
    </w:p>
    <w:p>
      <w:pPr>
        <w:spacing w:line="276" w:lineRule="auto" w:after="120"/>
        <w:ind w:firstLine="425"/>
        <w:jc w:val="both"/>
      </w:pPr>
      <w:r>
        <w:rPr>
          <w:rFonts w:ascii="Times New Roman" w:hAnsi="Times New Roman" w:cs="Times New Roman" w:eastAsia="Times New Roman"/>
          <w:b w:val="0"/>
          <w:sz w:val="24"/>
        </w:rPr>
        <w:t>La conseguenza va detta senza enfasi e per intero. I due termini di comparazione che la Voce prima domanda esistono entrambi, sono entrambi individuati per estremi, e sono stati entrambi acquisiti da una Commissione parlamentare i cui atti sono conservati. La Voce prima non attendeva una desecretazione: attendeva che qualcuno leggesse l'indice delle acquisizioni. Essa muta pertanto classe, e passa dalle voci che domandano un accesso a quelle che domandano un reperimento.</w:t>
      </w:r>
    </w:p>
    <w:p>
      <w:pPr>
        <w:spacing w:line="276" w:lineRule="auto" w:after="120"/>
        <w:ind w:firstLine="425"/>
        <w:jc w:val="both"/>
      </w:pPr>
      <w:r>
        <w:rPr>
          <w:rFonts w:ascii="Times New Roman" w:hAnsi="Times New Roman" w:cs="Times New Roman" w:eastAsia="Times New Roman"/>
          <w:b w:val="0"/>
          <w:sz w:val="24"/>
        </w:rPr>
        <w:t>L'unità ventunesima reca la consulenza tecnico-merceologica sul pannello di via Monte Nevoso, redatta dai periti Aijtelli, Brandone e Casarini, disposta dal sostituto procuratore Pomarici nel procedimento numero 16461/90 del registro generale, presentata il sei dicembre millenovecentonovanta e pervenuta alla Commissione il diciannove dicembre. È l'atto che l'opera designava per classe come il rilievo tecnico disposto nel millenovecentonovanta, sul quale poggia la chiusura di una delle cinque questioni sciolte in campagna, quella secondo cui il vano non fu svuotato ma non fu trovato. Quella chiusura riposava, fino a oggi, su una designazione per classe. Ora riposa su un atto, con procedimento, numero di registro, collegio peritale e data di deposito. Il grado non muta; muta la verificabilità, che da nulla diviene piena.</w:t>
      </w:r>
    </w:p>
    <w:p>
      <w:pPr>
        <w:spacing w:line="276" w:lineRule="auto" w:after="120"/>
        <w:ind w:firstLine="425"/>
        <w:jc w:val="both"/>
      </w:pPr>
      <w:r>
        <w:rPr>
          <w:rFonts w:ascii="Times New Roman" w:hAnsi="Times New Roman" w:cs="Times New Roman" w:eastAsia="Times New Roman"/>
          <w:b w:val="0"/>
          <w:sz w:val="24"/>
        </w:rPr>
        <w:t>L'unità quattordicesima reca, per trasmissione del Procuratore della Repubblica di Roma, la copia integrale in quattrocentoventuno fogli della documentazione afferente la vicenda rinvenuta in Milano, via Monte Nevoso otto, il nove ottobre millenovecentonovanta, e copia di undici atti del procedimento numero 3349/90. L'unità sedicesima reca la lettera del ventiquattro ottobre millenovecentonovanta del Procuratore generale di Milano sulle iniziative assunte per risolvere il conflitto di competenza fra le Procure di Milano e di Roma in ordine al medesimo rinvenimento. L'unità trentaseiesima reca gli atti estratti dai procedimenti numero 16461/90 e 17856/90 concernenti vicende connesse al ritrovamento.</w:t>
      </w:r>
    </w:p>
    <w:p>
      <w:pPr>
        <w:spacing w:line="276" w:lineRule="auto" w:after="120"/>
        <w:ind w:firstLine="425"/>
        <w:jc w:val="both"/>
      </w:pPr>
      <w:r>
        <w:rPr>
          <w:rFonts w:ascii="Times New Roman" w:hAnsi="Times New Roman" w:cs="Times New Roman" w:eastAsia="Times New Roman"/>
          <w:b w:val="0"/>
          <w:sz w:val="24"/>
        </w:rPr>
        <w:t>Le unità diciottesima e diciannovesima recano i verbali degli interrogatori assunti nell'immediatezza del secondo rinvenimento: la prima quelli di Valerio Morucci e Mario Moretti del tredici e trenta ottobre millenovecentonovanta, resi al sostituto procuratore Ionta nel procedimento numero 3349/90; la seconda quelli di Lauro Azzolini e Franco Bonisoli del quindici e diciannove ottobre, resi al sostituto procuratore Pomarici. Entrambe sono in fase istruttoria riservata alla data dell'acquisizione, e il regime va verificato allo stato attuale prima di ogni domanda.</w:t>
      </w:r>
    </w:p>
    <w:p>
      <w:pPr>
        <w:spacing w:line="276" w:lineRule="auto" w:after="120" w:before="240"/>
        <w:ind w:firstLine="0"/>
        <w:jc w:val="left"/>
      </w:pPr>
      <w:r>
        <w:rPr>
          <w:rFonts w:ascii="Times New Roman" w:hAnsi="Times New Roman" w:cs="Times New Roman" w:eastAsia="Times New Roman"/>
          <w:b/>
          <w:sz w:val="24"/>
        </w:rPr>
        <w:t>Gruppo secondo — I comitati di crisi e la consulenza estera</w:t>
      </w:r>
    </w:p>
    <w:p>
      <w:pPr>
        <w:spacing w:line="276" w:lineRule="auto" w:after="120"/>
        <w:ind w:firstLine="425"/>
        <w:jc w:val="both"/>
      </w:pPr>
      <w:r>
        <w:rPr>
          <w:rFonts w:ascii="Times New Roman" w:hAnsi="Times New Roman" w:cs="Times New Roman" w:eastAsia="Times New Roman"/>
          <w:b w:val="0"/>
          <w:sz w:val="24"/>
        </w:rPr>
        <w:t>L'unità quarantaduesima reca la lettera del ventitré gennaio millenovecentonovantadue del Ministro dell'Interno concernente i cosiddetti comitati di crisi istituiti presso quel Ministero durante il sequestro, con in allegato copia degli appunti redatti all'epoca dai professori Ferracuti, Silvestri, Pieczenik e Conte Micheli.</w:t>
      </w:r>
    </w:p>
    <w:p>
      <w:pPr>
        <w:spacing w:line="276" w:lineRule="auto" w:after="120"/>
        <w:ind w:firstLine="425"/>
        <w:jc w:val="both"/>
      </w:pPr>
      <w:r>
        <w:rPr>
          <w:rFonts w:ascii="Times New Roman" w:hAnsi="Times New Roman" w:cs="Times New Roman" w:eastAsia="Times New Roman"/>
          <w:b w:val="0"/>
          <w:sz w:val="24"/>
        </w:rPr>
        <w:t>Questa unità serve due classi dell'opera che erano designate per classe e restavano entrambe irrisalibili. La prima è quella degli atti dei comitati di crisi, alla quale il repertorio conferisce il grado massimo per quanto documentato osservando che la sua incompletezza spiega più di quanto il suo contenuto attesti. La seconda è quella degli atti sulla consulenza estera, alla quale il repertorio conferisce il grado massimo quanto alla presenza e il grado minimo quanto a ogni influenza sulle decisioni.</w:t>
      </w:r>
    </w:p>
    <w:p>
      <w:pPr>
        <w:spacing w:line="276" w:lineRule="auto" w:after="120"/>
        <w:ind w:firstLine="425"/>
        <w:jc w:val="both"/>
      </w:pPr>
      <w:r>
        <w:rPr>
          <w:rFonts w:ascii="Times New Roman" w:hAnsi="Times New Roman" w:cs="Times New Roman" w:eastAsia="Times New Roman"/>
          <w:b w:val="0"/>
          <w:sz w:val="24"/>
        </w:rPr>
        <w:t>Si osservi la natura degli allegati, poiché è la circostanza che determina il valore dell'unità: non si tratta di ricostruzioni successive, ma di appunti redatti all'epoca. Sono dunque documenti del primo nucleo, quello dell'immediatezza, pervenuti per via ministeriale quattordici anni dopo. La distinzione fra un appunto coevo e una memoria posteriore è, in questa materia, la differenza fra una fonte e una versione.</w:t>
      </w:r>
    </w:p>
    <w:p>
      <w:pPr>
        <w:spacing w:line="276" w:lineRule="auto" w:after="120"/>
        <w:ind w:firstLine="425"/>
        <w:jc w:val="both"/>
      </w:pPr>
      <w:r>
        <w:rPr>
          <w:rFonts w:ascii="Times New Roman" w:hAnsi="Times New Roman" w:cs="Times New Roman" w:eastAsia="Times New Roman"/>
          <w:b w:val="0"/>
          <w:sz w:val="24"/>
        </w:rPr>
        <w:t>Si osservi altresì ciò che l'unità non fa. Essa non dice che cosa quegli appunti contengano, e il presente atto non lo dice per la ragione dichiarata nell'atto di edizione: il verbale attesta l'acquisizione e non il contenuto. Chi voglia il contenuto domandi l'unità.</w:t>
      </w:r>
    </w:p>
    <w:p>
      <w:pPr>
        <w:spacing w:line="276" w:lineRule="auto" w:after="120"/>
        <w:ind w:firstLine="425"/>
        <w:jc w:val="both"/>
      </w:pPr>
      <w:r>
        <w:rPr>
          <w:rFonts w:ascii="Times New Roman" w:hAnsi="Times New Roman" w:cs="Times New Roman" w:eastAsia="Times New Roman"/>
          <w:b w:val="0"/>
          <w:sz w:val="24"/>
        </w:rPr>
        <w:t>L'unità trentanovesima reca un appunto del Ministro della Difesa, con allegati, contenente elementi informativi sulle azioni e sugli approntamenti delle Forze Armate in occasione del rapimento, pervenuto il ventuno dicembre millenovecentonovantuno e formato in riferimento a dichiarazioni alla stampa del Presidente della Repubblica in carica. L'unità quarantunesima reca la lettera del ventitré gennaio millenovecentonovantadue con la quale il Ministro dell'Interno comunica che agli atti del Ministero e del servizio informativo civile non risulta documentazione relativa a quelle dichiarazioni.</w:t>
      </w:r>
    </w:p>
    <w:p>
      <w:pPr>
        <w:spacing w:line="276" w:lineRule="auto" w:after="120"/>
        <w:ind w:firstLine="425"/>
        <w:jc w:val="both"/>
      </w:pPr>
      <w:r>
        <w:rPr>
          <w:rFonts w:ascii="Times New Roman" w:hAnsi="Times New Roman" w:cs="Times New Roman" w:eastAsia="Times New Roman"/>
          <w:b w:val="0"/>
          <w:sz w:val="24"/>
        </w:rPr>
        <w:t>Le due unità vanno tenute insieme e la seconda va qualificata per ciò che è: un esito negativo formalizzato da un'amministrazione, cioè uno Stato Zero prodotto non dal ricercatore ma dall'ufficio interrogato. È la specie più solida di constatazione negativa disponibile in questa materia, poiché non riposa sull'intensità della ricerca privata ma su una dichiarazione di un'amministrazione sui propri atti. Si iscrive fra le acquisizioni della classe delle constatazioni negative, alla quale la Voce ventunesima è dedicata.</w:t>
      </w:r>
    </w:p>
    <w:p>
      <w:pPr>
        <w:spacing w:line="276" w:lineRule="auto" w:after="120" w:before="240"/>
        <w:ind w:firstLine="0"/>
        <w:jc w:val="left"/>
      </w:pPr>
      <w:r>
        <w:rPr>
          <w:rFonts w:ascii="Times New Roman" w:hAnsi="Times New Roman" w:cs="Times New Roman" w:eastAsia="Times New Roman"/>
          <w:b/>
          <w:sz w:val="24"/>
        </w:rPr>
        <w:t>Gruppo terzo — La richiesta del 30 marzo 1978 e il suo esito</w:t>
      </w:r>
    </w:p>
    <w:p>
      <w:pPr>
        <w:spacing w:line="276" w:lineRule="auto" w:after="120"/>
        <w:ind w:firstLine="425"/>
        <w:jc w:val="both"/>
      </w:pPr>
      <w:r>
        <w:rPr>
          <w:rFonts w:ascii="Times New Roman" w:hAnsi="Times New Roman" w:cs="Times New Roman" w:eastAsia="Times New Roman"/>
          <w:b w:val="0"/>
          <w:sz w:val="24"/>
        </w:rPr>
        <w:t>L'unità quarantatreesima reca la lettera del ventiquattro gennaio millenovecentonovantadue del Ministro dell'Interno, con in allegato copia della richiesta concernente tutti gli atti del procedimento penale relativo al sequestro, indirizzata il trenta marzo millenovecentosettantotto dal Ministro dell'Interno dell'epoca al Procuratore della Repubblica di Roma; e nella lettera si afferma che non risulta documentazione trasmessa dall'autorità giudiziaria a seguito di tale richiesta.</w:t>
      </w:r>
    </w:p>
    <w:p>
      <w:pPr>
        <w:spacing w:line="276" w:lineRule="auto" w:after="120"/>
        <w:ind w:firstLine="425"/>
        <w:jc w:val="both"/>
      </w:pPr>
      <w:r>
        <w:rPr>
          <w:rFonts w:ascii="Times New Roman" w:hAnsi="Times New Roman" w:cs="Times New Roman" w:eastAsia="Times New Roman"/>
          <w:b w:val="0"/>
          <w:sz w:val="24"/>
        </w:rPr>
        <w:t>L'unità quarantaseiesima reca la richiesta di archiviazione, in data tredici marzo millenovecentonovantadue, del procedimento numero 1254/92 B, concernente ipotizzati illeciti commessi sugli atti del processo Moro che il trenta marzo millenovecentosettantotto erano stati richiesti alla Procura romana dal Ministro dell'Interno dell'epoca.</w:t>
      </w:r>
    </w:p>
    <w:p>
      <w:pPr>
        <w:spacing w:line="276" w:lineRule="auto" w:after="120"/>
        <w:ind w:firstLine="425"/>
        <w:jc w:val="both"/>
      </w:pPr>
      <w:r>
        <w:rPr>
          <w:rFonts w:ascii="Times New Roman" w:hAnsi="Times New Roman" w:cs="Times New Roman" w:eastAsia="Times New Roman"/>
          <w:b w:val="0"/>
          <w:sz w:val="24"/>
        </w:rPr>
        <w:t>Il gruppo è il più rilevante dell'intero repertorio ai fini della tavola, e la ragione è di struttura. La Scheda prima dello scenario primo del memorandum operativo prescrive di cercare la discontinuità: un atto che entra in un ufficio e non ne esce, in assenza di annotazione che ne dia ragione. Qui si dispone della figura simmetrica e più rara: un atto che esce da un ufficio, in forma di richiesta scritta con data e destinatario determinati, e al quale non risulta seguito. Non è la discontinuità di una trasmissione dovuta e mancata; è la discontinuità di una trasmissione richiesta e mancata, che lascia traccia da entrambi i lati e non da uno solo.</w:t>
      </w:r>
    </w:p>
    <w:p>
      <w:pPr>
        <w:spacing w:line="276" w:lineRule="auto" w:after="120"/>
        <w:ind w:firstLine="425"/>
        <w:jc w:val="both"/>
      </w:pPr>
      <w:r>
        <w:rPr>
          <w:rFonts w:ascii="Times New Roman" w:hAnsi="Times New Roman" w:cs="Times New Roman" w:eastAsia="Times New Roman"/>
          <w:b w:val="0"/>
          <w:sz w:val="24"/>
        </w:rPr>
        <w:t>Va detto con la medesima chiarezza ciò che il gruppo non stabilisce. Esso non stabilisce che la mancata trasmissione fosse deliberata, e la richiesta di archiviazione del millenovecentonovantadue depone anzi nella direzione contraria quanto alla configurabilità di illeciti. Esso non stabilisce che gli atti richiesti sarebbero stati utili. Esso stabilisce che una richiesta fu formata, che il suo seguito non risulta, e che quattordici anni dopo la circostanza fu ritenuta meritevole di un procedimento penale poi concluso con richiesta di archiviazione. Sono tre fatti e nessuna inferenza, e vanno iscritti come tre fatti.</w:t>
      </w:r>
    </w:p>
    <w:p>
      <w:pPr>
        <w:spacing w:line="276" w:lineRule="auto" w:after="120"/>
        <w:ind w:firstLine="425"/>
        <w:jc w:val="both"/>
      </w:pPr>
      <w:r>
        <w:rPr>
          <w:rFonts w:ascii="Times New Roman" w:hAnsi="Times New Roman" w:cs="Times New Roman" w:eastAsia="Times New Roman"/>
          <w:b w:val="0"/>
          <w:sz w:val="24"/>
        </w:rPr>
        <w:t>Si segnala che la richiesta di archiviazione va acquisita per intero, poiché una richiesta di archiviazione motivata contiene di norma la ricostruzione dei fatti accertati, ed è quindi la fonte che dice per quale ragione il seguito mancò. È la domanda più circoscritta e più immediatamente esaudibile che il presente repertorio produca, e si iscrive in tavola.</w:t>
      </w:r>
    </w:p>
    <w:p>
      <w:pPr>
        <w:spacing w:line="276" w:lineRule="auto" w:after="120" w:before="240"/>
        <w:ind w:firstLine="0"/>
        <w:jc w:val="left"/>
      </w:pPr>
      <w:r>
        <w:rPr>
          <w:rFonts w:ascii="Times New Roman" w:hAnsi="Times New Roman" w:cs="Times New Roman" w:eastAsia="Times New Roman"/>
          <w:b/>
          <w:sz w:val="24"/>
        </w:rPr>
        <w:t>Gruppo quarto — Le carte</w:t>
      </w:r>
    </w:p>
    <w:p>
      <w:pPr>
        <w:spacing w:line="276" w:lineRule="auto" w:after="120"/>
        <w:ind w:firstLine="425"/>
        <w:jc w:val="both"/>
      </w:pPr>
      <w:r>
        <w:rPr>
          <w:rFonts w:ascii="Times New Roman" w:hAnsi="Times New Roman" w:cs="Times New Roman" w:eastAsia="Times New Roman"/>
          <w:b w:val="0"/>
          <w:sz w:val="24"/>
        </w:rPr>
        <w:t>L'unità trentaquattresima reca la documentazione trasmessa alla Corte di Assise di Roma dal Ministero dell'Interno e proveniente dalla Presidenza della Repubblica, contenente fra l'altro il cosiddetto memoriale attribuito a Morucci e Faranda, pervenuta l'undici ottobre millenovecentonovantuno con indice nel fascicolo. La circostanza che l'indice sia nel fascicolo è dirimente ai fini della Voce ventesima: un indice consente di domandare un singolo pezzo anziché un intero fondo, e riduce la richiesta da esplorativa a determinata.</w:t>
      </w:r>
    </w:p>
    <w:p>
      <w:pPr>
        <w:spacing w:line="276" w:lineRule="auto" w:after="120"/>
        <w:ind w:firstLine="425"/>
        <w:jc w:val="both"/>
      </w:pPr>
      <w:r>
        <w:rPr>
          <w:rFonts w:ascii="Times New Roman" w:hAnsi="Times New Roman" w:cs="Times New Roman" w:eastAsia="Times New Roman"/>
          <w:b w:val="0"/>
          <w:sz w:val="24"/>
        </w:rPr>
        <w:t>L'unità trentatreesima reca le osservazioni sugli scritti e sulle lettere rinvenuti in via Monte Nevoso, consegnate il dieci ottobre millenovecentonovantuno dal fratello magistrato nel corso dell'incontro con il gruppo di lavoro sul caso. Essa serve la classe che il repertorio qualifica come i contributi del fratello magistrato, derivata quanto ai fatti pubblici e originaria quanto alle circostanze familiari, con grado intermedio e obbligo di riscontro per le valutazioni. La designazione per atto non muta quel grado e ne consente per la prima volta il controllo.</w:t>
      </w:r>
    </w:p>
    <w:p>
      <w:pPr>
        <w:spacing w:line="276" w:lineRule="auto" w:after="120"/>
        <w:ind w:firstLine="425"/>
        <w:jc w:val="both"/>
      </w:pPr>
      <w:r>
        <w:rPr>
          <w:rFonts w:ascii="Times New Roman" w:hAnsi="Times New Roman" w:cs="Times New Roman" w:eastAsia="Times New Roman"/>
          <w:b w:val="0"/>
          <w:sz w:val="24"/>
        </w:rPr>
        <w:t>L'unità trentaduesima reca la memoria su alcuni aspetti del caso consegnata nel marzo millenovecentottantanove al giudice istruttore da un senatore autore di ricerca privata sulla vicenda, e acquisita dalla Commissione il dieci ottobre millenovecentonovantuno. Il repertorio dell'opera dedica una voce ai contributi della ricerca privata, dichiarandola derivata quanto ai fatti e originaria quanto alla raccolta, e riconosce a quella classe un debito. La designazione per atto consente ora di distinguere, entro quel debito, ciò che fu consegnato a un'autorità giudiziaria da ciò che fu pubblicato, che sono due cose diverse e non sempre coincidenti.</w:t>
      </w:r>
    </w:p>
    <w:p>
      <w:pPr>
        <w:spacing w:line="276" w:lineRule="auto" w:after="120" w:before="240"/>
        <w:ind w:firstLine="0"/>
        <w:jc w:val="left"/>
      </w:pPr>
      <w:r>
        <w:rPr>
          <w:rFonts w:ascii="Times New Roman" w:hAnsi="Times New Roman" w:cs="Times New Roman" w:eastAsia="Times New Roman"/>
          <w:b/>
          <w:sz w:val="24"/>
        </w:rPr>
        <w:t>Gruppo quinto — I giudicati e gli atti processuali</w:t>
      </w:r>
    </w:p>
    <w:p>
      <w:pPr>
        <w:spacing w:line="276" w:lineRule="auto" w:after="120"/>
        <w:ind w:firstLine="425"/>
        <w:jc w:val="both"/>
      </w:pPr>
      <w:r>
        <w:rPr>
          <w:rFonts w:ascii="Times New Roman" w:hAnsi="Times New Roman" w:cs="Times New Roman" w:eastAsia="Times New Roman"/>
          <w:b w:val="0"/>
          <w:sz w:val="24"/>
        </w:rPr>
        <w:t>L'unità trentacinquesima reca la sentenza di primo grado emessa il ventiquattro gennaio millenovecentottantatré dalla Corte di Assise di Roma nei procedimenti riuniti detti primo e secondo. L'unità trentesima reca la sentenza d'appello del quattordici agosto millenovecentonovantuno nel procedimento detto secondo. L'unità trentunesima reca, fra l'altro, schede su l'ordinanza di rinvio a giudizio del giudice istruttore nel procedimento detto quarto.</w:t>
      </w:r>
    </w:p>
    <w:p>
      <w:pPr>
        <w:spacing w:line="276" w:lineRule="auto" w:after="120"/>
        <w:ind w:firstLine="425"/>
        <w:jc w:val="both"/>
      </w:pPr>
      <w:r>
        <w:rPr>
          <w:rFonts w:ascii="Times New Roman" w:hAnsi="Times New Roman" w:cs="Times New Roman" w:eastAsia="Times New Roman"/>
          <w:b w:val="0"/>
          <w:sz w:val="24"/>
        </w:rPr>
        <w:t>Queste unità servono la classe delle sentenze, alla quale il repertorio conferisce il grado massimo con la precisazione che esso copre il dispositivo e l'accertamento e non ogni considerazione della motivazione. Si osservi che il repertorio dell'opera, per questa classe, dichiarava genealogia originaria e non designava alcun atto: la designazione era per classe anche dove la classe era composta di atti pubblici, numerati e datati. È il caso nel quale l'estensione impropria della regola della funzione ha prodotto il costo più gratuito, poiché nulla imponeva di non nominare una sentenza per data e per sede.</w:t>
      </w:r>
    </w:p>
    <w:p>
      <w:pPr>
        <w:spacing w:line="276" w:lineRule="auto" w:after="120" w:before="240"/>
        <w:ind w:firstLine="0"/>
        <w:jc w:val="left"/>
      </w:pPr>
      <w:r>
        <w:rPr>
          <w:rFonts w:ascii="Times New Roman" w:hAnsi="Times New Roman" w:cs="Times New Roman" w:eastAsia="Times New Roman"/>
          <w:b/>
          <w:sz w:val="24"/>
        </w:rPr>
        <w:t>Gruppo sesto — Gli archi esterni e le acquisizioni residue</w:t>
      </w:r>
    </w:p>
    <w:p>
      <w:pPr>
        <w:spacing w:line="276" w:lineRule="auto" w:after="120"/>
        <w:ind w:firstLine="425"/>
        <w:jc w:val="both"/>
      </w:pPr>
      <w:r>
        <w:rPr>
          <w:rFonts w:ascii="Times New Roman" w:hAnsi="Times New Roman" w:cs="Times New Roman" w:eastAsia="Times New Roman"/>
          <w:b w:val="0"/>
          <w:sz w:val="24"/>
        </w:rPr>
        <w:t>Si espongono per completezza le unità restanti, con la qualificazione del loro statuto, poiché un repertorio che censisse soltanto le unità favorevoli non sarebbe un repertorio.</w:t>
      </w:r>
    </w:p>
    <w:p>
      <w:pPr>
        <w:spacing w:line="276" w:lineRule="auto" w:after="120"/>
        <w:ind w:firstLine="425"/>
        <w:jc w:val="both"/>
      </w:pPr>
      <w:r>
        <w:rPr>
          <w:rFonts w:ascii="Times New Roman" w:hAnsi="Times New Roman" w:cs="Times New Roman" w:eastAsia="Times New Roman"/>
          <w:b w:val="0"/>
          <w:sz w:val="24"/>
        </w:rPr>
        <w:t>L'unità trentasettesima reca lo stralcio della sentenza-ordinanza emessa il venti giugno millenovecentottantanove dal giudice istruttore del Tribunale di Venezia nel procedimento numero 204/83, concernente fra l'altro la struttura detta Superclan, il gruppo Hyperion e i rapporti fra tali organizzazioni e il responsabile dell'operazione. È l'atto che il corpus maggiore designava per classe in ordine alla materia di quel gruppo, e la sua individuazione per estremi consente di chiudere l'emendamento toponomastico rimasto in sospeso nella tavola delle lacune di quel corpus. Si segnala che l'unità è uno stralcio e non la sentenza integrale, e che la richiesta va formulata sull'atto intero.</w:t>
      </w:r>
    </w:p>
    <w:p>
      <w:pPr>
        <w:spacing w:line="276" w:lineRule="auto" w:after="120"/>
        <w:ind w:firstLine="425"/>
        <w:jc w:val="both"/>
      </w:pPr>
      <w:r>
        <w:rPr>
          <w:rFonts w:ascii="Times New Roman" w:hAnsi="Times New Roman" w:cs="Times New Roman" w:eastAsia="Times New Roman"/>
          <w:b w:val="0"/>
          <w:sz w:val="24"/>
        </w:rPr>
        <w:t>L'unità trentottesima reca atti estratti dal procedimento numero 491/85 del medesimo ufficio, fra i quali una nota della Sezione anticrimine dei Carabinieri di Padova del ventitré settembre millenovecentonovantuno sulle risultanze degli accertamenti in ordine alla compravendita di un immobile milanese e all'identità dei residenti, con diciannove allegati.</w:t>
      </w:r>
    </w:p>
    <w:p>
      <w:pPr>
        <w:spacing w:line="276" w:lineRule="auto" w:after="120"/>
        <w:ind w:firstLine="425"/>
        <w:jc w:val="both"/>
      </w:pPr>
      <w:r>
        <w:rPr>
          <w:rFonts w:ascii="Times New Roman" w:hAnsi="Times New Roman" w:cs="Times New Roman" w:eastAsia="Times New Roman"/>
          <w:b w:val="0"/>
          <w:sz w:val="24"/>
        </w:rPr>
        <w:t>L'unità ventiquattresima reca il verbale di assunzione di informazioni di un ufficiale, espletato il sedici maggio millenovecentonovantuno dalla Procura della Repubblica di Roma nel procedimento numero 3704/91 B contro ignoti per banda armata, associazione sovversiva, omicidio e sequestro di persona. Il procedimento è quello che, alla data dell'acquisizione, era formalmente aperto contro ignoti sui medesimi fatti, e la sua individuazione per numero è acquisizione di rilievo autonomo rispetto al contenuto del singolo verbale.</w:t>
      </w:r>
    </w:p>
    <w:p>
      <w:pPr>
        <w:spacing w:line="276" w:lineRule="auto" w:after="120"/>
        <w:ind w:firstLine="425"/>
        <w:jc w:val="both"/>
      </w:pPr>
      <w:r>
        <w:rPr>
          <w:rFonts w:ascii="Times New Roman" w:hAnsi="Times New Roman" w:cs="Times New Roman" w:eastAsia="Times New Roman"/>
          <w:b w:val="0"/>
          <w:sz w:val="24"/>
        </w:rPr>
        <w:t>L'unità ventottesima reca copia non integrale del verbale di assunzione di informazioni rese da un collaboratore di giustizia a New York il quindici luglio millenovecentonovantuno. Si segnala il carattere non integrale della copia, che è esso stesso un dato da registrare e non da superare in silenzio.</w:t>
      </w:r>
    </w:p>
    <w:p>
      <w:pPr>
        <w:spacing w:line="276" w:lineRule="auto" w:after="120"/>
        <w:ind w:firstLine="425"/>
        <w:jc w:val="both"/>
      </w:pPr>
      <w:r>
        <w:rPr>
          <w:rFonts w:ascii="Times New Roman" w:hAnsi="Times New Roman" w:cs="Times New Roman" w:eastAsia="Times New Roman"/>
          <w:b w:val="0"/>
          <w:sz w:val="24"/>
        </w:rPr>
        <w:t>Le unità ventitreesima, ventiduesima, quarantesima, diciassettesima e ventesima recano materiali di natura diversa dalle precedenti, ed è la loro natura a determinarne l'uso. La ventitreesima è una lettera al Presidente della Commissione relativa a dichiarazioni pubbliche altrui circa un comitato che si sarebbe occupato del sequestro presso un palazzo della Marina Militare; essa attesta la dichiarazione e non il fatto dichiarato, ed è collocabile al grado minimo per la seconda proposizione e al grado massimo soltanto per la prima. La diciassettesima è una dichiarazione di privato già consegnata alla Procura di Roma, e vale il medesimo criterio. La ventesima reca documenti consegnati da una familiare all'Ufficio di Presidenza in regime riservato. La ventiduesima e la quarantesima recano materiali di riscontro su ambienti e su titoli di accesso.</w:t>
      </w:r>
    </w:p>
    <w:p>
      <w:pPr>
        <w:spacing w:line="276" w:lineRule="auto" w:after="120"/>
        <w:ind w:firstLine="425"/>
        <w:jc w:val="both"/>
      </w:pPr>
      <w:r>
        <w:rPr>
          <w:rFonts w:ascii="Times New Roman" w:hAnsi="Times New Roman" w:cs="Times New Roman" w:eastAsia="Times New Roman"/>
          <w:b w:val="0"/>
          <w:sz w:val="24"/>
        </w:rPr>
        <w:t>Si dichiara espressamente, quanto a queste cinque unità, che la loro inclusione nel repertorio non conferisce ad alcuna di esse un grado. Un repertorio di reperimento censisce ciò che una Commissione acquisì, e una Commissione acquisisce anche materiali che valuta e non recepisce. Trattare l'acquisizione come avallo sarebbe la forma più semplice dell'errore che l'appendice seconda ha censito, e la si nomina qui perché è quella nella quale la letteratura su questa materia incorre con maggiore frequenza.</w:t>
      </w:r>
    </w:p>
    <w:p>
      <w:pPr>
        <w:spacing w:line="276" w:lineRule="auto" w:after="120" w:before="240"/>
        <w:ind w:firstLine="0"/>
        <w:jc w:val="left"/>
      </w:pPr>
      <w:r>
        <w:rPr>
          <w:rFonts w:ascii="Times New Roman" w:hAnsi="Times New Roman" w:cs="Times New Roman" w:eastAsia="Times New Roman"/>
          <w:b/>
          <w:sz w:val="24"/>
        </w:rPr>
        <w:t>Parte quarta — Che cosa il repertorio conferma della verifica genealogica</w:t>
      </w:r>
    </w:p>
    <w:p>
      <w:pPr>
        <w:spacing w:line="276" w:lineRule="auto" w:after="120"/>
        <w:ind w:firstLine="425"/>
        <w:jc w:val="both"/>
      </w:pPr>
      <w:r>
        <w:rPr>
          <w:rFonts w:ascii="Times New Roman" w:hAnsi="Times New Roman" w:cs="Times New Roman" w:eastAsia="Times New Roman"/>
          <w:b w:val="0"/>
          <w:sz w:val="24"/>
        </w:rPr>
        <w:t>Il risultato più importante del presente atto non è nessuna delle ventinove unità. È una proprietà dell'insieme, e va enunciata.</w:t>
      </w:r>
    </w:p>
    <w:p>
      <w:pPr>
        <w:spacing w:line="276" w:lineRule="auto" w:after="120"/>
        <w:ind w:firstLine="425"/>
        <w:jc w:val="both"/>
      </w:pPr>
      <w:r>
        <w:rPr>
          <w:rFonts w:ascii="Times New Roman" w:hAnsi="Times New Roman" w:cs="Times New Roman" w:eastAsia="Times New Roman"/>
          <w:b w:val="0"/>
          <w:sz w:val="24"/>
        </w:rPr>
        <w:t>Tutte e ventinove le unità sono acquisizioni. Nessuna è prodotta dalla Commissione. Gli uffici emittenti sono Procure della Repubblica, Procure generali, Tribunali, Corti di Assise, Ministeri, un Servizio di Polizia Scientifica, collegi peritali nominati in sede giudiziaria, parlamentari e privati. La Commissione è, rispetto a tutte, il luogo nel quale esse si trovano riunite e non l'atto che le ha formate.</w:t>
      </w:r>
    </w:p>
    <w:p>
      <w:pPr>
        <w:spacing w:line="276" w:lineRule="auto" w:after="120"/>
        <w:ind w:firstLine="425"/>
        <w:jc w:val="both"/>
      </w:pPr>
      <w:r>
        <w:rPr>
          <w:rFonts w:ascii="Times New Roman" w:hAnsi="Times New Roman" w:cs="Times New Roman" w:eastAsia="Times New Roman"/>
          <w:b w:val="0"/>
          <w:sz w:val="24"/>
        </w:rPr>
        <w:t>Ne segue la conferma, su materiale documentato e non più sulla sola dichiarazione del repertorio, di ciò che l'appendice seconda aveva asserito alla propria Parte terza: i nuclei parlamentari sono, per la parte prevalente del proprio contenuto, nuclei di acquisizione e non di produzione. Chi computi come catena autonoma il fatto che una Commissione detenga un atto raddoppia una catena sola.</w:t>
      </w:r>
    </w:p>
    <w:p>
      <w:pPr>
        <w:spacing w:line="276" w:lineRule="auto" w:after="120"/>
        <w:ind w:firstLine="425"/>
        <w:jc w:val="both"/>
      </w:pPr>
      <w:r>
        <w:rPr>
          <w:rFonts w:ascii="Times New Roman" w:hAnsi="Times New Roman" w:cs="Times New Roman" w:eastAsia="Times New Roman"/>
          <w:b w:val="0"/>
          <w:sz w:val="24"/>
        </w:rPr>
        <w:t>Ne segue altresì una conseguenza di segno opposto e va detta, perché la verifica non è un esercizio di svalutazione. Se la Commissione non aggiunge catene, essa aggiunge qualcosa che nella presente materia vale quanto una catena: un indice. Ventinove atti formati da quattordici uffici diversi nell'arco di tredici anni sono qui riuniti sotto una chiave unica, con oggetto, data e provenienza. È la funzione che la verifica genealogica assegna propriamente agli organi di acquisizione, ed è la sola per la quale essi siano insostituibili: non attestano i fatti, rendono trovabili gli atti.</w:t>
      </w:r>
    </w:p>
    <w:p>
      <w:pPr>
        <w:spacing w:line="276" w:lineRule="auto" w:after="120" w:before="240"/>
        <w:ind w:firstLine="0"/>
        <w:jc w:val="left"/>
      </w:pPr>
      <w:r>
        <w:rPr>
          <w:rFonts w:ascii="Times New Roman" w:hAnsi="Times New Roman" w:cs="Times New Roman" w:eastAsia="Times New Roman"/>
          <w:b/>
          <w:sz w:val="24"/>
        </w:rPr>
        <w:t>Parte quinta — Le mutazioni di stato nella tavola</w:t>
      </w:r>
    </w:p>
    <w:p>
      <w:pPr>
        <w:spacing w:line="276" w:lineRule="auto" w:after="120"/>
        <w:ind w:firstLine="425"/>
        <w:jc w:val="both"/>
      </w:pPr>
      <w:r>
        <w:rPr>
          <w:rFonts w:ascii="Times New Roman" w:hAnsi="Times New Roman" w:cs="Times New Roman" w:eastAsia="Times New Roman"/>
          <w:b w:val="0"/>
          <w:sz w:val="24"/>
        </w:rPr>
        <w:t>Si registrano le mutazioni che il presente atto produce sulla tavola delle acquisizioni necessarie, e si registrano separatamente da ogni valutazione.</w:t>
      </w:r>
    </w:p>
    <w:p>
      <w:pPr>
        <w:spacing w:line="276" w:lineRule="auto" w:after="120"/>
        <w:ind w:firstLine="425"/>
        <w:jc w:val="both"/>
      </w:pPr>
      <w:r>
        <w:rPr>
          <w:rFonts w:ascii="Times New Roman" w:hAnsi="Times New Roman" w:cs="Times New Roman" w:eastAsia="Times New Roman"/>
          <w:b w:val="0"/>
          <w:sz w:val="24"/>
        </w:rPr>
        <w:t>La Voce prima muta classe. I due termini della comparazione che essa domanda — i rilievi della perquisizione dell'ottobre millenovecentosettantotto e quelli del rinvenimento del millenovecentonovanta — sono entrambi individuati per estremi alle unità trentaseiesima terza e trentaseiesima seconda, e sono conservati fra gli atti di una Commissione conclusa. La voce passa dalle voci che domandano un accesso a quelle che domandano un reperimento, e la sua condizione di chiusura resta immutata.</w:t>
      </w:r>
    </w:p>
    <w:p>
      <w:pPr>
        <w:spacing w:line="276" w:lineRule="auto" w:after="120"/>
        <w:ind w:firstLine="425"/>
        <w:jc w:val="both"/>
      </w:pPr>
      <w:r>
        <w:rPr>
          <w:rFonts w:ascii="Times New Roman" w:hAnsi="Times New Roman" w:cs="Times New Roman" w:eastAsia="Times New Roman"/>
          <w:b w:val="0"/>
          <w:sz w:val="24"/>
        </w:rPr>
        <w:t>La Voce ventesima è eseguita in parte. Ventinove fonti sono designate per atto, e le classi dell'opera che esse consentono di designare sono sette: gli atti dei comitati di crisi, gli atti sulla consulenza estera, i contributi del fratello magistrato, i contributi della ricerca privata, le sentenze, i materiali del secondo rinvenimento, gli atti sulle omissioni informative. Restano da designare le fonti delle proposizioni per le quali nessuna delle ventinove unità sia pertinente, e il loro numero non è determinabile prima che la designazione sia tentata una per una.</w:t>
      </w:r>
    </w:p>
    <w:p>
      <w:pPr>
        <w:spacing w:line="276" w:lineRule="auto" w:after="120"/>
        <w:ind w:firstLine="425"/>
        <w:jc w:val="both"/>
      </w:pPr>
      <w:r>
        <w:rPr>
          <w:rFonts w:ascii="Times New Roman" w:hAnsi="Times New Roman" w:cs="Times New Roman" w:eastAsia="Times New Roman"/>
          <w:b w:val="0"/>
          <w:sz w:val="24"/>
        </w:rPr>
        <w:t>La Voce ventunesima riceve una prima acquisizione, ed è l'unità quarantunesima, per la ragione detta al gruppo secondo: una constatazione negativa formalizzata da un'amministrazione sui propri atti è la specie più solida della classe, e va tenuta distinta dalle constatazioni negative prodotte da ricerca privata.</w:t>
      </w:r>
    </w:p>
    <w:p>
      <w:pPr>
        <w:spacing w:line="276" w:lineRule="auto" w:after="120"/>
        <w:ind w:firstLine="425"/>
        <w:jc w:val="both"/>
      </w:pPr>
      <w:r>
        <w:rPr>
          <w:rFonts w:ascii="Times New Roman" w:hAnsi="Times New Roman" w:cs="Times New Roman" w:eastAsia="Times New Roman"/>
          <w:b w:val="0"/>
          <w:sz w:val="24"/>
        </w:rPr>
        <w:t>La Voce sesta non è toccata. Nessuna delle ventinove unità concerne l'esame materiale del documento apocrifo del diciotto aprile millenovecentosettantotto, il supporto, il mezzo di scrittura o le modalità di immissione. Si registra l'assenza, poiché una ricognizione che dichiarasse soltanto ciò che ha trovato mente nel quadro che l'insieme produce.</w:t>
      </w:r>
    </w:p>
    <w:p>
      <w:pPr>
        <w:spacing w:line="276" w:lineRule="auto" w:after="120"/>
        <w:ind w:firstLine="425"/>
        <w:jc w:val="both"/>
      </w:pPr>
      <w:r>
        <w:rPr>
          <w:rFonts w:ascii="Times New Roman" w:hAnsi="Times New Roman" w:cs="Times New Roman" w:eastAsia="Times New Roman"/>
          <w:b w:val="0"/>
          <w:sz w:val="24"/>
        </w:rPr>
        <w:t>Si iscrive in tavola una voce nuova.</w:t>
      </w:r>
    </w:p>
    <w:p>
      <w:pPr>
        <w:spacing w:line="276" w:lineRule="auto" w:after="120"/>
        <w:ind w:firstLine="425"/>
        <w:jc w:val="both"/>
      </w:pPr>
      <w:r>
        <w:rPr>
          <w:rFonts w:ascii="Times New Roman" w:hAnsi="Times New Roman" w:cs="Times New Roman" w:eastAsia="Times New Roman"/>
          <w:b w:val="0"/>
          <w:sz w:val="24"/>
        </w:rPr>
        <w:t>Voce ventitreesima — La richiesta di archiviazione del marzo 1992. Oggetto: il testo integrale della richiesta di archiviazione del tredici marzo millenovecentonovantadue nel procedimento numero 1254/92 B, concernente ipotizzati illeciti sugli atti del processo richiesti il trenta marzo millenovecentosettantotto, e la motivazione che la sorregge. Sede: Procura della Repubblica presso il Tribunale di Roma; in copia fra gli atti della Commissione, unità quarantaseiesima del fascicolo. Chiusura: acquisizione del testo motivato. Smentita: una motivazione fondata sulla sola prescrizione o sulla sola improcedibilità, la quale non ricostruirebbe i fatti e lascerebbe la discontinuità documentata e inspiegata, nel qual caso la voce non si chiude e si trasforma nella ricerca del seguito presso l'ufficio destinatario della richiesta del millenovecentosettantotto.</w:t>
      </w:r>
    </w:p>
    <w:p>
      <w:pPr>
        <w:spacing w:line="276" w:lineRule="auto" w:after="120" w:before="240"/>
        <w:ind w:firstLine="0"/>
        <w:jc w:val="left"/>
      </w:pPr>
      <w:r>
        <w:rPr>
          <w:rFonts w:ascii="Times New Roman" w:hAnsi="Times New Roman" w:cs="Times New Roman" w:eastAsia="Times New Roman"/>
          <w:b/>
          <w:sz w:val="24"/>
        </w:rPr>
        <w:t>Parte sesta — Stati Zero dichiarati</w:t>
      </w:r>
    </w:p>
    <w:p>
      <w:pPr>
        <w:spacing w:line="276" w:lineRule="auto" w:after="120"/>
        <w:ind w:firstLine="425"/>
        <w:jc w:val="both"/>
      </w:pPr>
      <w:r>
        <w:rPr>
          <w:rFonts w:ascii="Times New Roman" w:hAnsi="Times New Roman" w:cs="Times New Roman" w:eastAsia="Times New Roman"/>
          <w:b w:val="0"/>
          <w:sz w:val="24"/>
        </w:rPr>
        <w:t>Si dichiarano gli esiti negativi della presente ricognizione con la medesima precisione degli esiti positivi.</w:t>
      </w:r>
    </w:p>
    <w:p>
      <w:pPr>
        <w:spacing w:line="276" w:lineRule="auto" w:after="120"/>
        <w:ind w:firstLine="425"/>
        <w:jc w:val="both"/>
      </w:pPr>
      <w:r>
        <w:rPr>
          <w:rFonts w:ascii="Times New Roman" w:hAnsi="Times New Roman" w:cs="Times New Roman" w:eastAsia="Times New Roman"/>
          <w:b w:val="0"/>
          <w:sz w:val="24"/>
        </w:rPr>
        <w:t>Primo. Diciannove unità del fascicolo tematico non sono individuate: quelle dalla prima alla tredicesima, e le unità quindicesima, venticinquesima, ventiseiesima, ventisettesima, quarantaquattresima e quarantacinquesima. La sede è determinata e il non reperimento dipende dall'incompletezza della serie posseduta e non da un diniego.</w:t>
      </w:r>
    </w:p>
    <w:p>
      <w:pPr>
        <w:spacing w:line="276" w:lineRule="auto" w:after="120"/>
        <w:ind w:firstLine="425"/>
        <w:jc w:val="both"/>
      </w:pPr>
      <w:r>
        <w:rPr>
          <w:rFonts w:ascii="Times New Roman" w:hAnsi="Times New Roman" w:cs="Times New Roman" w:eastAsia="Times New Roman"/>
          <w:b w:val="0"/>
          <w:sz w:val="24"/>
        </w:rPr>
        <w:t>Secondo. Ventisette processi verbali su centodue non sono posseduti. Si tratta di non reperimento e non di non accessibilità, e le due cose non si confondono.</w:t>
      </w:r>
    </w:p>
    <w:p>
      <w:pPr>
        <w:spacing w:line="276" w:lineRule="auto" w:after="120"/>
        <w:ind w:firstLine="425"/>
        <w:jc w:val="both"/>
      </w:pPr>
      <w:r>
        <w:rPr>
          <w:rFonts w:ascii="Times New Roman" w:hAnsi="Times New Roman" w:cs="Times New Roman" w:eastAsia="Times New Roman"/>
          <w:b w:val="0"/>
          <w:sz w:val="24"/>
        </w:rPr>
        <w:t>Terzo. Il regime di riservatezza dichiarato all'atto dell'acquisizione è quello del millenovecentonovanta o del millenovecentonovantuno e non è stato verificato allo stato attuale per alcuna delle unità che lo recano. Sette unità recano l'indicazione di fase istruttoria riservata e una l'indicazione di riservatezza semplice. La verifica del regime vigente è preliminare a ogni domanda e non è stata compiuta.</w:t>
      </w:r>
    </w:p>
    <w:p>
      <w:pPr>
        <w:spacing w:line="276" w:lineRule="auto" w:after="120"/>
        <w:ind w:firstLine="425"/>
        <w:jc w:val="both"/>
      </w:pPr>
      <w:r>
        <w:rPr>
          <w:rFonts w:ascii="Times New Roman" w:hAnsi="Times New Roman" w:cs="Times New Roman" w:eastAsia="Times New Roman"/>
          <w:b w:val="0"/>
          <w:sz w:val="24"/>
        </w:rPr>
        <w:t>Quarto. Il contenuto di nessuna delle ventinove unità è stato esaminato. Il presente atto designa e non legge, e chi lo impiegasse come se avesse letto ne farebbe un uso improprio.</w:t>
      </w:r>
    </w:p>
    <w:p>
      <w:pPr>
        <w:spacing w:line="276" w:lineRule="auto" w:after="120" w:before="240"/>
        <w:ind w:firstLine="0"/>
        <w:jc w:val="left"/>
      </w:pPr>
      <w:r>
        <w:rPr>
          <w:rFonts w:ascii="Times New Roman" w:hAnsi="Times New Roman" w:cs="Times New Roman" w:eastAsia="Times New Roman"/>
          <w:b/>
          <w:sz w:val="24"/>
        </w:rPr>
        <w:t>Parte settima — Avvertenza sui nomi</w:t>
      </w:r>
    </w:p>
    <w:p>
      <w:pPr>
        <w:spacing w:line="276" w:lineRule="auto" w:after="120"/>
        <w:ind w:firstLine="425"/>
        <w:jc w:val="both"/>
      </w:pPr>
      <w:r>
        <w:rPr>
          <w:rFonts w:ascii="Times New Roman" w:hAnsi="Times New Roman" w:cs="Times New Roman" w:eastAsia="Times New Roman"/>
          <w:b w:val="0"/>
          <w:sz w:val="24"/>
        </w:rPr>
        <w:t>Il presente atto reca nomi di persone in misura maggiore di quanta l'opera ne rechi altrove, e la ragione va dichiarata perché non sia scambiata per un mutamento di disciplina.</w:t>
      </w:r>
    </w:p>
    <w:p>
      <w:pPr>
        <w:spacing w:line="276" w:lineRule="auto" w:after="120"/>
        <w:ind w:firstLine="425"/>
        <w:jc w:val="both"/>
      </w:pPr>
      <w:r>
        <w:rPr>
          <w:rFonts w:ascii="Times New Roman" w:hAnsi="Times New Roman" w:cs="Times New Roman" w:eastAsia="Times New Roman"/>
          <w:b w:val="0"/>
          <w:sz w:val="24"/>
        </w:rPr>
        <w:t>La disposizione stabilita dall'appendice seconda distingue: le persone si designano per funzione ove la funzione basti a identificare l'atto; le fonti si designano per atto sempre. Un atto è identificato dai propri estremi, e fra gli estremi di un verbale di interrogatorio vi è il nome della persona interrogata, come fra gli estremi di una perizia vi è il nome del collegio che la sottoscrive. Nominare qui significa individuare un documento e null'altro.</w:t>
      </w:r>
    </w:p>
    <w:p>
      <w:pPr>
        <w:spacing w:line="276" w:lineRule="auto" w:after="120"/>
        <w:ind w:firstLine="425"/>
        <w:jc w:val="both"/>
      </w:pPr>
      <w:r>
        <w:rPr>
          <w:rFonts w:ascii="Times New Roman" w:hAnsi="Times New Roman" w:cs="Times New Roman" w:eastAsia="Times New Roman"/>
          <w:b w:val="0"/>
          <w:sz w:val="24"/>
        </w:rPr>
        <w:t>Nessuna delle persone nominate è, per effetto della nominazione, oggetto di alcuna attribuzione. Che un verbale di interrogatorio esista non stabilisce nulla sul suo contenuto, e che una dichiarazione sia stata acquisita non stabilisce nulla sulla sua fondatezza. La distinzione è la medesima che governa l'intera opera, ed è qui più necessaria che altrove perché la densità dei nomi in un repertorio di atti può indurre a leggerlo come un elenco di persone anziché come un elenco di carte.</w:t>
      </w:r>
    </w:p>
    <w:p>
      <w:pPr>
        <w:spacing w:line="276" w:lineRule="auto" w:after="120" w:before="240"/>
        <w:ind w:firstLine="0"/>
        <w:jc w:val="left"/>
      </w:pPr>
      <w:r>
        <w:rPr>
          <w:rFonts w:ascii="Times New Roman" w:hAnsi="Times New Roman" w:cs="Times New Roman" w:eastAsia="Times New Roman"/>
          <w:b/>
          <w:sz w:val="24"/>
        </w:rPr>
        <w:t>Riga di giornale</w:t>
      </w:r>
    </w:p>
    <w:p>
      <w:pPr>
        <w:spacing w:line="276" w:lineRule="auto" w:after="120"/>
        <w:ind w:firstLine="425"/>
        <w:jc w:val="both"/>
      </w:pPr>
      <w:r>
        <w:rPr>
          <w:rFonts w:ascii="Times New Roman" w:hAnsi="Times New Roman" w:cs="Times New Roman" w:eastAsia="Times New Roman"/>
          <w:b w:val="0"/>
          <w:sz w:val="24"/>
        </w:rPr>
        <w:t>Riga del quindici agosto duemilaventisei. Cantiere: designazione per atto delle fonti. Materia: esecuzione parziale della Voce ventesima sulla serie dei processi verbali di una Commissione parlamentare d'inchiesta della X legislatura.</w:t>
      </w:r>
    </w:p>
    <w:p>
      <w:pPr>
        <w:spacing w:line="276" w:lineRule="auto" w:after="120"/>
        <w:ind w:firstLine="425"/>
        <w:jc w:val="both"/>
      </w:pPr>
      <w:r>
        <w:rPr>
          <w:rFonts w:ascii="Times New Roman" w:hAnsi="Times New Roman" w:cs="Times New Roman" w:eastAsia="Times New Roman"/>
          <w:b w:val="0"/>
          <w:sz w:val="24"/>
        </w:rPr>
        <w:t>Esito positivo: settantacinque processi verbali su centodue ricogniti; ventinove unità del fascicolo tematico individuate per ufficio emittente, data, oggetto e chiave di catalogo; sette classi di fonti dell'opera portate dalla designazione per classe alla designazione per atto; individuazione per estremi di entrambi i termini di comparazione richiesti dalla Voce prima, con mutamento di classe della voce; individuazione dell'atto peritale sul quale riposa la chiusura di una delle cinque questioni sciolte in campagna; individuazione per estremi degli allegati coevi sui comitati di crisi e sulla consulenza estera; individuazione della richiesta del trenta marzo millenovecentosettantotto e del procedimento del millenovecentonovantadue che ne trattò il seguito; individuazione per estremi della sentenza-ordinanza che consente di chiudere l'emendamento toponomastico pendente nel corpus maggiore; una voce nuova iscritta in tavola.</w:t>
      </w:r>
    </w:p>
    <w:p>
      <w:pPr>
        <w:spacing w:line="276" w:lineRule="auto" w:after="120"/>
        <w:ind w:firstLine="425"/>
        <w:jc w:val="both"/>
      </w:pPr>
      <w:r>
        <w:rPr>
          <w:rFonts w:ascii="Times New Roman" w:hAnsi="Times New Roman" w:cs="Times New Roman" w:eastAsia="Times New Roman"/>
          <w:b w:val="0"/>
          <w:sz w:val="24"/>
        </w:rPr>
        <w:t>Esito negativo: diciannove unità del fascicolo non individuate; ventisette processi verbali non posseduti; regime di riservatezza attuale non verificato per alcuna unità; nessuna unità concerne l'esame materiale del documento apocrifo, e la Voce sesta resta intatta.</w:t>
      </w:r>
    </w:p>
    <w:p>
      <w:pPr>
        <w:spacing w:line="276" w:lineRule="auto" w:after="120"/>
        <w:ind w:firstLine="425"/>
        <w:jc w:val="both"/>
      </w:pPr>
      <w:r>
        <w:rPr>
          <w:rFonts w:ascii="Times New Roman" w:hAnsi="Times New Roman" w:cs="Times New Roman" w:eastAsia="Times New Roman"/>
          <w:b w:val="0"/>
          <w:sz w:val="24"/>
        </w:rPr>
        <w:t>Riga di correzione a sfavore. Si registra che il materiale impiegato dal presente atto era posseduto prima che l'appendice seconda dichiarasse i propri Stati Zero, e non era stato aperto. La regola che se ne trae, e che vale contro chi la scrive, è che nessuno Stato Zero può essere dichiarato prima che sia stato interrogato ciò che si possiede. Un esito negativo dichiarato senza avere esaurito il posseduto non è un esito negativo: è una omissione di ricognizione travestita da acquisizione.</w:t>
      </w:r>
    </w:p>
    <w:p>
      <w:pPr>
        <w:spacing w:line="276" w:lineRule="auto" w:after="120"/>
        <w:ind w:firstLine="425"/>
        <w:jc w:val="both"/>
      </w:pPr>
      <w:r>
        <w:rPr>
          <w:rFonts w:ascii="Times New Roman" w:hAnsi="Times New Roman" w:cs="Times New Roman" w:eastAsia="Times New Roman"/>
          <w:b w:val="0"/>
          <w:sz w:val="24"/>
        </w:rPr>
        <w:t>Riga di avvertenza. Il presente atto designa e non legge. Esso non attribuisce alcun contenuto alle unità che individua, non conferisce grado ad alcuna proposizione e non muta il grado di alcuna proposizione anteriore. La sua sola funzione è rendere domandabile ciò che era designato per classe, e la sua utilità si misurerà su quante domande produrrà e non su quante affermazioni.</w:t>
      </w:r>
    </w:p>
    <w:p>
      <w:pPr>
        <w:spacing w:line="276" w:lineRule="auto" w:after="120" w:before="240"/>
        <w:ind w:firstLine="0"/>
        <w:jc w:val="left"/>
      </w:pPr>
      <w:r>
        <w:rPr>
          <w:rFonts w:ascii="Times New Roman" w:hAnsi="Times New Roman" w:cs="Times New Roman" w:eastAsia="Times New Roman"/>
          <w:b/>
          <w:sz w:val="24"/>
        </w:rPr>
        <w:t>Colophon</w:t>
      </w:r>
    </w:p>
    <w:p>
      <w:pPr>
        <w:spacing w:line="276" w:lineRule="auto" w:after="120"/>
        <w:ind w:firstLine="425"/>
        <w:jc w:val="both"/>
      </w:pPr>
      <w:r>
        <w:rPr>
          <w:rFonts w:ascii="Times New Roman" w:hAnsi="Times New Roman" w:cs="Times New Roman" w:eastAsia="Times New Roman"/>
          <w:b w:val="0"/>
          <w:sz w:val="24"/>
        </w:rPr>
        <w:t>APPENDICE TERZA ALLA FASE SETTIMA, primo repertorio di designazione per atto in esecuzione parziale della Voce ventesima, quindici agosto duemilaventisei. I settanta Capitoli restano settanta. Le redazioni anteriori non sono modificate: le pietre deposte non si scalpellano. Resta sovrana la Regola di Ferro: dove la fonte documenta, l'opera certifica; dove la fonte tace, l'opera indaga e non afferma. Un organo di acquisizione non attesta i fatti: rende trovabili gli atti, e chi ne raddoppi la catena raddoppia una catena sola.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