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ind w:firstLine="0"/>
        <w:jc w:val="center"/>
      </w:pPr>
      <w:r>
        <w:rPr>
          <w:rFonts w:ascii="Times New Roman" w:hAnsi="Times New Roman" w:cs="Times New Roman" w:eastAsia="Times New Roman"/>
          <w:b/>
          <w:sz w:val="24"/>
        </w:rPr>
        <w:t>ALDO MORO</w:t>
      </w:r>
    </w:p>
    <w:p>
      <w:pPr>
        <w:spacing w:line="276" w:lineRule="auto" w:after="120"/>
        <w:ind w:firstLine="0"/>
        <w:jc w:val="center"/>
      </w:pPr>
      <w:r>
        <w:rPr>
          <w:rFonts w:ascii="Times New Roman" w:hAnsi="Times New Roman" w:cs="Times New Roman" w:eastAsia="Times New Roman"/>
          <w:b/>
          <w:sz w:val="24"/>
        </w:rPr>
        <w:t>IL REGISTRO DEI CINQUANTACINQUE GIORNI</w:t>
      </w:r>
    </w:p>
    <w:p>
      <w:pPr>
        <w:spacing w:line="276" w:lineRule="auto" w:after="120"/>
        <w:ind w:firstLine="0"/>
        <w:jc w:val="center"/>
      </w:pPr>
      <w:r>
        <w:rPr>
          <w:rFonts w:ascii="Times New Roman" w:hAnsi="Times New Roman" w:cs="Times New Roman" w:eastAsia="Times New Roman"/>
          <w:b/>
          <w:sz w:val="24"/>
        </w:rPr>
        <w:t>APPENDICE UNDICESIMA ALLA FASE SETTIMA</w:t>
      </w:r>
    </w:p>
    <w:p>
      <w:pPr>
        <w:spacing w:line="276" w:lineRule="auto" w:after="120"/>
        <w:ind w:firstLine="0"/>
        <w:jc w:val="center"/>
      </w:pPr>
      <w:r>
        <w:rPr>
          <w:rFonts w:ascii="Times New Roman" w:hAnsi="Times New Roman" w:cs="Times New Roman" w:eastAsia="Times New Roman"/>
          <w:b/>
          <w:sz w:val="24"/>
        </w:rPr>
        <w:t>Un falsificatore messo alla prova</w:t>
      </w:r>
    </w:p>
    <w:p>
      <w:pPr>
        <w:spacing w:line="276" w:lineRule="auto" w:after="120"/>
        <w:ind w:firstLine="0"/>
        <w:jc w:val="center"/>
      </w:pPr>
      <w:r>
        <w:rPr>
          <w:rFonts w:ascii="Times New Roman" w:hAnsi="Times New Roman" w:cs="Times New Roman" w:eastAsia="Times New Roman"/>
          <w:b/>
          <w:sz w:val="24"/>
        </w:rPr>
        <w:t>Esecuzione della Voce quarantaquattresima sui tre fascicoli posseduti</w:t>
      </w:r>
    </w:p>
    <w:p>
      <w:pPr>
        <w:spacing w:line="276" w:lineRule="auto" w:after="120"/>
        <w:ind w:firstLine="0"/>
        <w:jc w:val="center"/>
      </w:pPr>
      <w:r>
        <w:rPr>
          <w:rFonts w:ascii="Times New Roman" w:hAnsi="Times New Roman" w:cs="Times New Roman" w:eastAsia="Times New Roman"/>
          <w:b/>
          <w:sz w:val="24"/>
        </w:rPr>
        <w:t>Luigi De Michele</w:t>
      </w:r>
    </w:p>
    <w:p>
      <w:pPr>
        <w:spacing w:line="276" w:lineRule="auto" w:after="120"/>
        <w:ind w:firstLine="0"/>
        <w:jc w:val="center"/>
      </w:pPr>
      <w:r>
        <w:rPr>
          <w:rFonts w:ascii="Times New Roman" w:hAnsi="Times New Roman" w:cs="Times New Roman" w:eastAsia="Times New Roman"/>
          <w:b/>
          <w:sz w:val="24"/>
        </w:rPr>
        <w:t>15 agosto 2026</w:t>
      </w:r>
    </w:p>
    <w:p>
      <w:pPr>
        <w:spacing w:line="276" w:lineRule="auto" w:after="120" w:before="240"/>
        <w:ind w:firstLine="0"/>
        <w:jc w:val="left"/>
      </w:pPr>
      <w:r>
        <w:rPr>
          <w:rFonts w:ascii="Times New Roman" w:hAnsi="Times New Roman" w:cs="Times New Roman" w:eastAsia="Times New Roman"/>
          <w:b/>
          <w:sz w:val="24"/>
        </w:rPr>
        <w:t>Atto di edizione dell'appendice undicesima</w:t>
      </w:r>
    </w:p>
    <w:p>
      <w:pPr>
        <w:spacing w:line="276" w:lineRule="auto" w:after="120"/>
        <w:ind w:firstLine="425"/>
        <w:jc w:val="both"/>
      </w:pPr>
      <w:r>
        <w:rPr>
          <w:rFonts w:ascii="Times New Roman" w:hAnsi="Times New Roman" w:cs="Times New Roman" w:eastAsia="Times New Roman"/>
          <w:b w:val="0"/>
          <w:sz w:val="24"/>
        </w:rPr>
        <w:t>La presente è appendice undicesima alla Fase Settima ed esegue la Voce quarantaquattresima, iscritta poche ore prima dall'appendice decima. Come le dieci anteriori, essa non modifica alcun Capitolo: i settanta restano settanta.</w:t>
      </w:r>
    </w:p>
    <w:p>
      <w:pPr>
        <w:spacing w:line="276" w:lineRule="auto" w:after="120"/>
        <w:ind w:firstLine="425"/>
        <w:jc w:val="both"/>
      </w:pPr>
      <w:r>
        <w:rPr>
          <w:rFonts w:ascii="Times New Roman" w:hAnsi="Times New Roman" w:cs="Times New Roman" w:eastAsia="Times New Roman"/>
          <w:b w:val="0"/>
          <w:sz w:val="24"/>
        </w:rPr>
        <w:t>La voce eseguita reca una condizione di smentita determinata, ed è per questa ragione che la si esegue prima delle altre. L'appendice decima ha asserito che la catalogazione multipla è, nella serie parlamentare esaminata, in prevalenza attribuzione successiva del compilatore dell'indice e non proprietà dell'acquisizione; e ha dichiarato che tale asserzione cade se la quota di attribuzione successiva risulta trascurabile negli altri fascicoli posseduti, poiché in tal caso il rapporto rilevato sarebbe una particolarità del fascicolo del caso e non una proprietà del sistema.</w:t>
      </w:r>
    </w:p>
    <w:p>
      <w:pPr>
        <w:spacing w:line="276" w:lineRule="auto" w:after="120"/>
        <w:ind w:firstLine="425"/>
        <w:jc w:val="both"/>
      </w:pPr>
      <w:r>
        <w:rPr>
          <w:rFonts w:ascii="Times New Roman" w:hAnsi="Times New Roman" w:cs="Times New Roman" w:eastAsia="Times New Roman"/>
          <w:b w:val="0"/>
          <w:sz w:val="24"/>
        </w:rPr>
        <w:t>Si dispone degli indici di tre fascicoli e della serie completa dei processi verbali. La prova è dunque eseguibile, ed è eseguita.</w:t>
      </w:r>
    </w:p>
    <w:p>
      <w:pPr>
        <w:spacing w:line="276" w:lineRule="auto" w:after="120" w:before="240"/>
        <w:ind w:firstLine="0"/>
        <w:jc w:val="left"/>
      </w:pPr>
      <w:r>
        <w:rPr>
          <w:rFonts w:ascii="Times New Roman" w:hAnsi="Times New Roman" w:cs="Times New Roman" w:eastAsia="Times New Roman"/>
          <w:b/>
          <w:sz w:val="24"/>
        </w:rPr>
        <w:t>Parte prima — La procedura, e i suoi tre limiti dichiarati</w:t>
      </w:r>
    </w:p>
    <w:p>
      <w:pPr>
        <w:spacing w:line="276" w:lineRule="auto" w:after="120"/>
        <w:ind w:firstLine="425"/>
        <w:jc w:val="both"/>
      </w:pPr>
      <w:r>
        <w:rPr>
          <w:rFonts w:ascii="Times New Roman" w:hAnsi="Times New Roman" w:cs="Times New Roman" w:eastAsia="Times New Roman"/>
          <w:b w:val="0"/>
          <w:sz w:val="24"/>
        </w:rPr>
        <w:t>Per ciascuno dei tre fascicoli si sono contate due grandezze: le voci che, nei processi verbali, recano la chiave di quel fascicolo insieme ad almeno un'altra chiave, cioè le catalogazioni multiple dichiarate al momento dell'ingresso; e le unità che, nell'indice di acquisizione di quel fascicolo, recano un rinvio ad altro fascicolo, cioè le catalogazioni multiple dichiarate in sede di compilazione.</w:t>
      </w:r>
    </w:p>
    <w:p>
      <w:pPr>
        <w:spacing w:line="276" w:lineRule="auto" w:after="120"/>
        <w:ind w:firstLine="425"/>
        <w:jc w:val="both"/>
      </w:pPr>
      <w:r>
        <w:rPr>
          <w:rFonts w:ascii="Times New Roman" w:hAnsi="Times New Roman" w:cs="Times New Roman" w:eastAsia="Times New Roman"/>
          <w:b w:val="0"/>
          <w:sz w:val="24"/>
        </w:rPr>
        <w:t>Si dichiarano tre limiti della procedura, tutti tali da incidere sulle cifre.</w:t>
      </w:r>
    </w:p>
    <w:p>
      <w:pPr>
        <w:spacing w:line="276" w:lineRule="auto" w:after="120"/>
        <w:ind w:firstLine="425"/>
        <w:jc w:val="both"/>
      </w:pPr>
      <w:r>
        <w:rPr>
          <w:rFonts w:ascii="Times New Roman" w:hAnsi="Times New Roman" w:cs="Times New Roman" w:eastAsia="Times New Roman"/>
          <w:b w:val="0"/>
          <w:sz w:val="24"/>
        </w:rPr>
        <w:t>Primo limite. Si era prevista una terza grandezza, il numero complessivo delle unità di ciascun fascicolo, da impiegare come denominatore comune. Il procedimento adottato per ricavarla dagli indici — il riconoscimento delle righe contenenti un numero isolato — ha prodotto per uno dei tre fascicoli un valore massimo incompatibile con l'ampiezza del fascicolo medesimo, segno che esso ha riconosciuto come numeri d'unità anche numeri di altra natura. Il procedimento è stato abbandonato e il denominatore comune non è impiegato. Le cifre che seguono sono pertanto conteggi assoluti e non tassi riferiti al totale delle unità.</w:t>
      </w:r>
    </w:p>
    <w:p>
      <w:pPr>
        <w:spacing w:line="276" w:lineRule="auto" w:after="120"/>
        <w:ind w:firstLine="425"/>
        <w:jc w:val="both"/>
      </w:pPr>
      <w:r>
        <w:rPr>
          <w:rFonts w:ascii="Times New Roman" w:hAnsi="Times New Roman" w:cs="Times New Roman" w:eastAsia="Times New Roman"/>
          <w:b w:val="0"/>
          <w:sz w:val="24"/>
        </w:rPr>
        <w:t>Secondo limite. Il fascicolo dedicato alla struttura clandestina compare nei verbali sotto due denominazioni, l'una estesa e l'altra abbreviata, e le due sono state trattate come una sola ai fini del conteggio. L'appendice quinta ha accertato che l'abbreviata coincide con la denominazione autonoma di un fascicolo distinto. Il conteggio di quel fascicolo è pertanto una somma di due insiemi che potrebbero non coincidere, e la sua cifra è dichiarata come valore per eccesso.</w:t>
      </w:r>
    </w:p>
    <w:p>
      <w:pPr>
        <w:spacing w:line="276" w:lineRule="auto" w:after="120"/>
        <w:ind w:firstLine="425"/>
        <w:jc w:val="both"/>
      </w:pPr>
      <w:r>
        <w:rPr>
          <w:rFonts w:ascii="Times New Roman" w:hAnsi="Times New Roman" w:cs="Times New Roman" w:eastAsia="Times New Roman"/>
          <w:b w:val="0"/>
          <w:sz w:val="24"/>
        </w:rPr>
        <w:t>Terzo limite. Le due grandezze contate non hanno la medesima unità di misura. La prima conta voci di verbale, e una voce può appartenere a più fascicoli ed essere pertanto contata in più conteggi. La seconda conta unità di un fascicolo determinato. La comparazione fra le due è legittima come comparazione fra ordini di grandezza e non come rapporto esatto.</w:t>
      </w:r>
    </w:p>
    <w:p>
      <w:pPr>
        <w:spacing w:line="276" w:lineRule="auto" w:after="120" w:before="240"/>
        <w:ind w:firstLine="0"/>
        <w:jc w:val="left"/>
      </w:pPr>
      <w:r>
        <w:rPr>
          <w:rFonts w:ascii="Times New Roman" w:hAnsi="Times New Roman" w:cs="Times New Roman" w:eastAsia="Times New Roman"/>
          <w:b/>
          <w:sz w:val="24"/>
        </w:rPr>
        <w:t>Parte seconda — L'esito della prova</w:t>
      </w:r>
    </w:p>
    <w:p>
      <w:pPr>
        <w:spacing w:line="276" w:lineRule="auto" w:after="120"/>
        <w:ind w:firstLine="425"/>
        <w:jc w:val="both"/>
      </w:pPr>
      <w:r>
        <w:rPr>
          <w:rFonts w:ascii="Times New Roman" w:hAnsi="Times New Roman" w:cs="Times New Roman" w:eastAsia="Times New Roman"/>
          <w:b w:val="0"/>
          <w:sz w:val="24"/>
        </w:rPr>
        <w:t>Per il fascicolo del caso: quattro catalogazioni multiple dichiarate all'ingresso, quattordici dichiarate nell'indice.</w:t>
      </w:r>
    </w:p>
    <w:p>
      <w:pPr>
        <w:spacing w:line="276" w:lineRule="auto" w:after="120"/>
        <w:ind w:firstLine="425"/>
        <w:jc w:val="both"/>
      </w:pPr>
      <w:r>
        <w:rPr>
          <w:rFonts w:ascii="Times New Roman" w:hAnsi="Times New Roman" w:cs="Times New Roman" w:eastAsia="Times New Roman"/>
          <w:b w:val="0"/>
          <w:sz w:val="24"/>
        </w:rPr>
        <w:t>Per il fascicolo dedicato al disastro aereo: nove dichiarate all'ingresso, quattordici nell'indice.</w:t>
      </w:r>
    </w:p>
    <w:p>
      <w:pPr>
        <w:spacing w:line="276" w:lineRule="auto" w:after="120"/>
        <w:ind w:firstLine="425"/>
        <w:jc w:val="both"/>
      </w:pPr>
      <w:r>
        <w:rPr>
          <w:rFonts w:ascii="Times New Roman" w:hAnsi="Times New Roman" w:cs="Times New Roman" w:eastAsia="Times New Roman"/>
          <w:b w:val="0"/>
          <w:sz w:val="24"/>
        </w:rPr>
        <w:t>Per il fascicolo dedicato alla struttura clandestina: trentacinque dichiarate all'ingresso, cinquantotto nell'indice.</w:t>
      </w:r>
    </w:p>
    <w:p>
      <w:pPr>
        <w:spacing w:line="276" w:lineRule="auto" w:after="120"/>
        <w:ind w:firstLine="425"/>
        <w:jc w:val="both"/>
      </w:pPr>
      <w:r>
        <w:rPr>
          <w:rFonts w:ascii="Times New Roman" w:hAnsi="Times New Roman" w:cs="Times New Roman" w:eastAsia="Times New Roman"/>
          <w:b w:val="0"/>
          <w:sz w:val="24"/>
        </w:rPr>
        <w:t>In tutti e tre i fascicoli l'indice dichiara più catalogazioni multiple di quante ne dichiarino i verbali, e in nessuno dei tre la differenza è trascurabile. La quota di attribuzione successiva è di dieci su quattordici nel primo, di cinque su quattordici nel secondo, di ventitré su cinquantotto nel terzo.</w:t>
      </w:r>
    </w:p>
    <w:p>
      <w:pPr>
        <w:spacing w:line="276" w:lineRule="auto" w:after="120"/>
        <w:ind w:firstLine="425"/>
        <w:jc w:val="both"/>
      </w:pPr>
      <w:r>
        <w:rPr>
          <w:rFonts w:ascii="Times New Roman" w:hAnsi="Times New Roman" w:cs="Times New Roman" w:eastAsia="Times New Roman"/>
          <w:b w:val="0"/>
          <w:sz w:val="24"/>
        </w:rPr>
        <w:t>La condizione di smentita non si verifica. L'asserzione dell'appendice decima regge: l'attribuzione successiva della catalogazione multipla è una proprietà del sistema e non una particolarità del fascicolo del caso.</w:t>
      </w:r>
    </w:p>
    <w:p>
      <w:pPr>
        <w:spacing w:line="276" w:lineRule="auto" w:after="120"/>
        <w:ind w:firstLine="425"/>
        <w:jc w:val="both"/>
      </w:pPr>
      <w:r>
        <w:rPr>
          <w:rFonts w:ascii="Times New Roman" w:hAnsi="Times New Roman" w:cs="Times New Roman" w:eastAsia="Times New Roman"/>
          <w:b w:val="0"/>
          <w:sz w:val="24"/>
        </w:rPr>
        <w:t>Si dichiari però, con la medesima esattezza, in che misura essa regga. La quota di attribuzione successiva è nel fascicolo del caso di circa sette decimi, negli altri due di circa quattro decimi. La proprietà è dunque presente in tutti e tre e ha nel fascicolo del caso un'intensità quasi doppia rispetto agli altri due. L'asserzione va pertanto mantenuta nella formulazione generale e ristretta nella misura: l'attribuzione successiva è ovunque rilevante, e il fascicolo sul quale essa fu rilevata è quello nel quale è massima. Chi avesse generalizzato la cifra di sette decimi avrebbe generalizzato un estremo.</w:t>
      </w:r>
    </w:p>
    <w:p>
      <w:pPr>
        <w:spacing w:line="276" w:lineRule="auto" w:after="120" w:before="240"/>
        <w:ind w:firstLine="0"/>
        <w:jc w:val="left"/>
      </w:pPr>
      <w:r>
        <w:rPr>
          <w:rFonts w:ascii="Times New Roman" w:hAnsi="Times New Roman" w:cs="Times New Roman" w:eastAsia="Times New Roman"/>
          <w:b/>
          <w:sz w:val="24"/>
        </w:rPr>
        <w:t>Parte terza — Un secondo reperto, non cercato</w:t>
      </w:r>
    </w:p>
    <w:p>
      <w:pPr>
        <w:spacing w:line="276" w:lineRule="auto" w:after="120"/>
        <w:ind w:firstLine="425"/>
        <w:jc w:val="both"/>
      </w:pPr>
      <w:r>
        <w:rPr>
          <w:rFonts w:ascii="Times New Roman" w:hAnsi="Times New Roman" w:cs="Times New Roman" w:eastAsia="Times New Roman"/>
          <w:b w:val="0"/>
          <w:sz w:val="24"/>
        </w:rPr>
        <w:t>La collazione ha prodotto un dato che non era il suo oggetto e che va registrato perché è di natura diversa da tutti quelli raccolti oggi.</w:t>
      </w:r>
    </w:p>
    <w:p>
      <w:pPr>
        <w:spacing w:line="276" w:lineRule="auto" w:after="120"/>
        <w:ind w:firstLine="425"/>
        <w:jc w:val="both"/>
      </w:pPr>
      <w:r>
        <w:rPr>
          <w:rFonts w:ascii="Times New Roman" w:hAnsi="Times New Roman" w:cs="Times New Roman" w:eastAsia="Times New Roman"/>
          <w:b w:val="0"/>
          <w:sz w:val="24"/>
        </w:rPr>
        <w:t>Rapportando le catalogazioni multiple dichiarate all'ingresso al numero delle voci di verbale recanti la chiave di ciascun fascicolo, si ottengono tre valori assai distanti. Per il fascicolo dedicato alla struttura clandestina, trentacinque su centoquattordici, cioè poco meno di un terzo. Per il fascicolo del caso, quattro su ventinove, cioè poco meno di un settimo. Per il fascicolo dedicato al disastro aereo, nove su centosettanta, cioè circa un ventesimo.</w:t>
      </w:r>
    </w:p>
    <w:p>
      <w:pPr>
        <w:spacing w:line="276" w:lineRule="auto" w:after="120"/>
        <w:ind w:firstLine="425"/>
        <w:jc w:val="both"/>
      </w:pPr>
      <w:r>
        <w:rPr>
          <w:rFonts w:ascii="Times New Roman" w:hAnsi="Times New Roman" w:cs="Times New Roman" w:eastAsia="Times New Roman"/>
          <w:b w:val="0"/>
          <w:sz w:val="24"/>
        </w:rPr>
        <w:t>Fra il fascicolo più trasversalmente catalogato e quello meno lo scarto è di circa sei volte.</w:t>
      </w:r>
    </w:p>
    <w:p>
      <w:pPr>
        <w:spacing w:line="276" w:lineRule="auto" w:after="120"/>
        <w:ind w:firstLine="425"/>
        <w:jc w:val="both"/>
      </w:pPr>
      <w:r>
        <w:rPr>
          <w:rFonts w:ascii="Times New Roman" w:hAnsi="Times New Roman" w:cs="Times New Roman" w:eastAsia="Times New Roman"/>
          <w:b w:val="0"/>
          <w:sz w:val="24"/>
        </w:rPr>
        <w:t>Si enunciano le due spiegazioni candidate e si dichiara di non discriminare fra esse.</w:t>
      </w:r>
    </w:p>
    <w:p>
      <w:pPr>
        <w:spacing w:line="276" w:lineRule="auto" w:after="120"/>
        <w:ind w:firstLine="425"/>
        <w:jc w:val="both"/>
      </w:pPr>
      <w:r>
        <w:rPr>
          <w:rFonts w:ascii="Times New Roman" w:hAnsi="Times New Roman" w:cs="Times New Roman" w:eastAsia="Times New Roman"/>
          <w:b w:val="0"/>
          <w:sz w:val="24"/>
        </w:rPr>
        <w:t>La prima è che lo scarto rifletta la natura degli oggetti. Un disastro aereo è un evento circoscritto nel tempo e nello spazio, i cui atti concernono quell'evento e pochi altri; una struttura clandestina permanente attraversa per definizione materie, periodi e apparati diversi, e i suoi atti toccano necessariamente più fascicoli. Se questa spiegazione è esatta, il tasso di catalogazione multipla è un indicatore della trasversalità dell'oggetto, e sarebbe un dato di prim'ordine.</w:t>
      </w:r>
    </w:p>
    <w:p>
      <w:pPr>
        <w:spacing w:line="276" w:lineRule="auto" w:after="120"/>
        <w:ind w:firstLine="425"/>
        <w:jc w:val="both"/>
      </w:pPr>
      <w:r>
        <w:rPr>
          <w:rFonts w:ascii="Times New Roman" w:hAnsi="Times New Roman" w:cs="Times New Roman" w:eastAsia="Times New Roman"/>
          <w:b w:val="0"/>
          <w:sz w:val="24"/>
        </w:rPr>
        <w:t>La seconda è che lo scarto rifletta la pratica di chi cataloga. Fascicoli aperti in tempi diversi, alimentati da mani diverse e con criteri di attribuzione non uniformi produrrebbero tassi diversi indipendentemente dalla natura degli oggetti. Se questa spiegazione è esatta, il tasso non dice nulla sugli oggetti e dice qualcosa sugli uffici.</w:t>
      </w:r>
    </w:p>
    <w:p>
      <w:pPr>
        <w:spacing w:line="276" w:lineRule="auto" w:after="120"/>
        <w:ind w:firstLine="425"/>
        <w:jc w:val="both"/>
      </w:pPr>
      <w:r>
        <w:rPr>
          <w:rFonts w:ascii="Times New Roman" w:hAnsi="Times New Roman" w:cs="Times New Roman" w:eastAsia="Times New Roman"/>
          <w:b w:val="0"/>
          <w:sz w:val="24"/>
        </w:rPr>
        <w:t>Le due spiegazioni non si escludono e concorrono probabilmente entrambe. Il presente atto non dispone di alcun elemento per attribuire quote all'una e all'altra, e si astiene. Si segnala soltanto che la via di discriminazione esiste ed è indicabile: essa consisterebbe nel verificare se il tasso di un medesimo fascicolo vari nel tempo, poiché una variazione temporale a oggetto costante deporrebbe per la seconda spiegazione.</w:t>
      </w:r>
    </w:p>
    <w:p>
      <w:pPr>
        <w:spacing w:line="276" w:lineRule="auto" w:after="120"/>
        <w:ind w:firstLine="425"/>
        <w:jc w:val="both"/>
      </w:pPr>
      <w:r>
        <w:rPr>
          <w:rFonts w:ascii="Times New Roman" w:hAnsi="Times New Roman" w:cs="Times New Roman" w:eastAsia="Times New Roman"/>
          <w:b w:val="0"/>
          <w:sz w:val="24"/>
        </w:rPr>
        <w:t>Voce quarantacinquesima — La trasversalità dei fascicoli e la sua causa. Oggetto: il tasso di catalogazione multipla all'ingresso per ciascun fascicolo della serie, e la sua variazione nel tempo entro ciascun fascicolo. Sede: la serie dei processi verbali, posseduta per duecentosedici documenti. Chiusura: computo dei tassi per fascicolo e per periodo. Smentita: la constatazione che il tasso di ciascun fascicolo sia stabile nel tempo, la quale escluderebbe la spiegazione fondata sulla pratica di catalogazione e lascerebbe in campo quella fondata sulla natura degli oggetti.</w:t>
      </w:r>
    </w:p>
    <w:p>
      <w:pPr>
        <w:spacing w:line="276" w:lineRule="auto" w:after="120" w:before="240"/>
        <w:ind w:firstLine="0"/>
        <w:jc w:val="left"/>
      </w:pPr>
      <w:r>
        <w:rPr>
          <w:rFonts w:ascii="Times New Roman" w:hAnsi="Times New Roman" w:cs="Times New Roman" w:eastAsia="Times New Roman"/>
          <w:b/>
          <w:sz w:val="24"/>
        </w:rPr>
        <w:t>Parte quarta — Sul falsificatore che regge</w:t>
      </w:r>
    </w:p>
    <w:p>
      <w:pPr>
        <w:spacing w:line="276" w:lineRule="auto" w:after="120"/>
        <w:ind w:firstLine="425"/>
        <w:jc w:val="both"/>
      </w:pPr>
      <w:r>
        <w:rPr>
          <w:rFonts w:ascii="Times New Roman" w:hAnsi="Times New Roman" w:cs="Times New Roman" w:eastAsia="Times New Roman"/>
          <w:b w:val="0"/>
          <w:sz w:val="24"/>
        </w:rPr>
        <w:t>Si registra un fatto che riguarda l'apparato e non la materia, e che va accostato a quanto la presente serie ha stabilito nella propria seconda appendice.</w:t>
      </w:r>
    </w:p>
    <w:p>
      <w:pPr>
        <w:spacing w:line="276" w:lineRule="auto" w:after="120"/>
        <w:ind w:firstLine="425"/>
        <w:jc w:val="both"/>
      </w:pPr>
      <w:r>
        <w:rPr>
          <w:rFonts w:ascii="Times New Roman" w:hAnsi="Times New Roman" w:cs="Times New Roman" w:eastAsia="Times New Roman"/>
          <w:b w:val="0"/>
          <w:sz w:val="24"/>
        </w:rPr>
        <w:t>L'appendice seconda ha censurato un falsificatore dell'opera perché tarato al di sotto della soglia che proteggeva, e ne ha tratto che un falsificatore il quale non scatti mai non è prova di correttezza ma indizio di taratura compiacente. La censura era fondata e la formulazione fu corretta.</w:t>
      </w:r>
    </w:p>
    <w:p>
      <w:pPr>
        <w:spacing w:line="276" w:lineRule="auto" w:after="120"/>
        <w:ind w:firstLine="425"/>
        <w:jc w:val="both"/>
      </w:pPr>
      <w:r>
        <w:rPr>
          <w:rFonts w:ascii="Times New Roman" w:hAnsi="Times New Roman" w:cs="Times New Roman" w:eastAsia="Times New Roman"/>
          <w:b w:val="0"/>
          <w:sz w:val="24"/>
        </w:rPr>
        <w:t>Il presente atto registra l'evento simmetrico. Un falsificatore è stato formulato con una condizione determinata, è stato sottoposto alla prova nelle ore immediatamente successive, e non è scattato. La differenza rispetto al caso censurato è intera: là il falsificatore non era scattato perché nessuno lo aveva provato e perché la sua soglia lo rendeva improbabile; qui non è scattato perché è stato provato e la prova è stata superata.</w:t>
      </w:r>
    </w:p>
    <w:p>
      <w:pPr>
        <w:spacing w:line="276" w:lineRule="auto" w:after="120"/>
        <w:ind w:firstLine="425"/>
        <w:jc w:val="both"/>
      </w:pPr>
      <w:r>
        <w:rPr>
          <w:rFonts w:ascii="Times New Roman" w:hAnsi="Times New Roman" w:cs="Times New Roman" w:eastAsia="Times New Roman"/>
          <w:b w:val="0"/>
          <w:sz w:val="24"/>
        </w:rPr>
        <w:t>Si enuncia la regola, ed è la quindicesima della serie. Il valore di un'asserzione si misura sul numero e sulla severità delle prove che ha superate, e non sull'assenza di prove. Un falsificatore mai azionato è privo di significato finché non si dichiari se sia stato provato; un falsificatore provato e non azionato conferisce all'asserzione un grado che nessuna accumulazione di conferme le avrebbe conferito. Si dichiari pertanto sempre, accanto a un falsificatore, se e quando sia stato messo alla prova.</w:t>
      </w:r>
    </w:p>
    <w:p>
      <w:pPr>
        <w:spacing w:line="276" w:lineRule="auto" w:after="120"/>
        <w:ind w:firstLine="425"/>
        <w:jc w:val="both"/>
      </w:pPr>
      <w:r>
        <w:rPr>
          <w:rFonts w:ascii="Times New Roman" w:hAnsi="Times New Roman" w:cs="Times New Roman" w:eastAsia="Times New Roman"/>
          <w:b w:val="0"/>
          <w:sz w:val="24"/>
        </w:rPr>
        <w:t>Si dispone che le voci della tavola rechino, dalla presente appendice in avanti, oltre alla condizione di smentita, l'indicazione di quali prove siano state eseguite e con quale esito.</w:t>
      </w:r>
    </w:p>
    <w:p>
      <w:pPr>
        <w:spacing w:line="276" w:lineRule="auto" w:after="120" w:before="240"/>
        <w:ind w:firstLine="0"/>
        <w:jc w:val="left"/>
      </w:pPr>
      <w:r>
        <w:rPr>
          <w:rFonts w:ascii="Times New Roman" w:hAnsi="Times New Roman" w:cs="Times New Roman" w:eastAsia="Times New Roman"/>
          <w:b/>
          <w:sz w:val="24"/>
        </w:rPr>
        <w:t>Parte quinta — Mutazioni di stato e Stati Zero</w:t>
      </w:r>
    </w:p>
    <w:p>
      <w:pPr>
        <w:spacing w:line="276" w:lineRule="auto" w:after="120"/>
        <w:ind w:firstLine="425"/>
        <w:jc w:val="both"/>
      </w:pPr>
      <w:r>
        <w:rPr>
          <w:rFonts w:ascii="Times New Roman" w:hAnsi="Times New Roman" w:cs="Times New Roman" w:eastAsia="Times New Roman"/>
          <w:b w:val="0"/>
          <w:sz w:val="24"/>
        </w:rPr>
        <w:t>La Voce quarantaquattresima si chiude quanto alla collazione dei tre fascicoli posseduti, con esito di conferma dell'asserzione provata e di restrizione della sua misura. Si iscrive la Voce quarantacinquesima. Nessun grado di alcuna proposizione dell'opera muta.</w:t>
      </w:r>
    </w:p>
    <w:p>
      <w:pPr>
        <w:spacing w:line="276" w:lineRule="auto" w:after="120"/>
        <w:ind w:firstLine="425"/>
        <w:jc w:val="both"/>
      </w:pPr>
      <w:r>
        <w:rPr>
          <w:rFonts w:ascii="Times New Roman" w:hAnsi="Times New Roman" w:cs="Times New Roman" w:eastAsia="Times New Roman"/>
          <w:b w:val="0"/>
          <w:sz w:val="24"/>
        </w:rPr>
        <w:t>Si dichiarano gli Stati Zero. Primo: il denominatore comune, cioè il numero complessivo delle unità di ciascun fascicolo, non è determinato, e le cifre sono conteggi assoluti. Secondo: il conteggio del fascicolo dedicato alla struttura clandestina è per eccesso, per la somma di due denominazioni che potrebbero designare fascicoli distinti. Terzo: la ripartizione fra le due spiegazioni della varianza dei tassi non è compiuta. Quarto: quattro fascicoli di destinazione su sette restano privi di indice posseduto, e la collazione è eseguita per tre.</w:t>
      </w:r>
    </w:p>
    <w:p>
      <w:pPr>
        <w:spacing w:line="276" w:lineRule="auto" w:after="120" w:before="240"/>
        <w:ind w:firstLine="0"/>
        <w:jc w:val="left"/>
      </w:pPr>
      <w:r>
        <w:rPr>
          <w:rFonts w:ascii="Times New Roman" w:hAnsi="Times New Roman" w:cs="Times New Roman" w:eastAsia="Times New Roman"/>
          <w:b/>
          <w:sz w:val="24"/>
        </w:rPr>
        <w:t>Riga di giornale</w:t>
      </w:r>
    </w:p>
    <w:p>
      <w:pPr>
        <w:spacing w:line="276" w:lineRule="auto" w:after="120"/>
        <w:ind w:firstLine="425"/>
        <w:jc w:val="both"/>
      </w:pPr>
      <w:r>
        <w:rPr>
          <w:rFonts w:ascii="Times New Roman" w:hAnsi="Times New Roman" w:cs="Times New Roman" w:eastAsia="Times New Roman"/>
          <w:b w:val="0"/>
          <w:sz w:val="24"/>
        </w:rPr>
        <w:t>Riga del quindici agosto duemilaventisei, nona del giorno sul medesimo cantiere. Cantiere: designazione per atto delle fonti. Materia: la collazione fra indice di acquisizione e processo verbale sui tre fascicoli posseduti.</w:t>
      </w:r>
    </w:p>
    <w:p>
      <w:pPr>
        <w:spacing w:line="276" w:lineRule="auto" w:after="120"/>
        <w:ind w:firstLine="425"/>
        <w:jc w:val="both"/>
      </w:pPr>
      <w:r>
        <w:rPr>
          <w:rFonts w:ascii="Times New Roman" w:hAnsi="Times New Roman" w:cs="Times New Roman" w:eastAsia="Times New Roman"/>
          <w:b w:val="0"/>
          <w:sz w:val="24"/>
        </w:rPr>
        <w:t>Esito positivo: collazione eseguita per tre fascicoli, con esito di quattro contro quattordici, nove contro quattordici e trentacinque contro cinquantotto; condizione di smentita non verificata e asserzione dell'appendice decima confermata; restrizione della misura dell'asserzione, che passa da sette decimi a una banda compresa fra quattro e sette decimi secondo il fascicolo; rilevazione non cercata della varianza del tasso di catalogazione multipla fra fascicoli, con scarto di circa sei volte fra l'estremo superiore e l'inferiore; enunciazione delle due spiegazioni candidate e della via di discriminazione fra esse; enunciazione della quindicesima regola della risalita; una voce nuova iscritta in tavola; disposizione che le voci della tavola rechino l'indicazione delle prove eseguite.</w:t>
      </w:r>
    </w:p>
    <w:p>
      <w:pPr>
        <w:spacing w:line="276" w:lineRule="auto" w:after="120"/>
        <w:ind w:firstLine="425"/>
        <w:jc w:val="both"/>
      </w:pPr>
      <w:r>
        <w:rPr>
          <w:rFonts w:ascii="Times New Roman" w:hAnsi="Times New Roman" w:cs="Times New Roman" w:eastAsia="Times New Roman"/>
          <w:b w:val="0"/>
          <w:sz w:val="24"/>
        </w:rPr>
        <w:t>Esito negativo: il denominatore comune non è determinato e il procedimento previsto per ricavarlo è stato abbandonato per difetto accertato; il conteggio di un fascicolo è per eccesso; la varianza dei tassi non è spiegata; la collazione è eseguita per tre fascicoli su sette.</w:t>
      </w:r>
    </w:p>
    <w:p>
      <w:pPr>
        <w:spacing w:line="276" w:lineRule="auto" w:after="120"/>
        <w:ind w:firstLine="425"/>
        <w:jc w:val="both"/>
      </w:pPr>
      <w:r>
        <w:rPr>
          <w:rFonts w:ascii="Times New Roman" w:hAnsi="Times New Roman" w:cs="Times New Roman" w:eastAsia="Times New Roman"/>
          <w:b w:val="0"/>
          <w:sz w:val="24"/>
        </w:rPr>
        <w:t>Riga di restrizione a proprio sfavore. L'asserzione provata regge nella formulazione generale e non nella misura con la quale era stata rilevata. Il fascicolo sul quale essa fu misurata è quello nel quale l'attribuzione successiva è massima, e chi avesse generalizzato quella cifra avrebbe generalizzato un estremo. Si registra che la restrizione è emersa dalla medesima prova che ha confermato l'asserzione, e che una prova la quale confermi e insieme restringa è più utile di una che confermi soltanto.</w:t>
      </w:r>
    </w:p>
    <w:p>
      <w:pPr>
        <w:spacing w:line="276" w:lineRule="auto" w:after="120"/>
        <w:ind w:firstLine="425"/>
        <w:jc w:val="both"/>
      </w:pPr>
      <w:r>
        <w:rPr>
          <w:rFonts w:ascii="Times New Roman" w:hAnsi="Times New Roman" w:cs="Times New Roman" w:eastAsia="Times New Roman"/>
          <w:b w:val="0"/>
          <w:sz w:val="24"/>
        </w:rPr>
        <w:t>Riga di avvertenza. Il presente atto tratta di conteggi su chiavi di catalogo. Non riferisce il contenuto di alcuna voce, non conferisce grado ad alcuna proposizione, non nomina alcuna persona e non trae alcuna inferenza sulla materia dei fascicoli comparati. In particolare, il tasso di catalogazione multipla di un fascicolo non è, allo stato, un indicatore di alcunché, poiché la sua causa non è stabilita.</w:t>
      </w:r>
    </w:p>
    <w:p>
      <w:pPr>
        <w:spacing w:line="276" w:lineRule="auto" w:after="120" w:before="240"/>
        <w:ind w:firstLine="0"/>
        <w:jc w:val="left"/>
      </w:pPr>
      <w:r>
        <w:rPr>
          <w:rFonts w:ascii="Times New Roman" w:hAnsi="Times New Roman" w:cs="Times New Roman" w:eastAsia="Times New Roman"/>
          <w:b/>
          <w:sz w:val="24"/>
        </w:rPr>
        <w:t>Colophon</w:t>
      </w:r>
    </w:p>
    <w:p>
      <w:pPr>
        <w:spacing w:line="276" w:lineRule="auto" w:after="120"/>
        <w:ind w:firstLine="425"/>
        <w:jc w:val="both"/>
      </w:pPr>
      <w:r>
        <w:rPr>
          <w:rFonts w:ascii="Times New Roman" w:hAnsi="Times New Roman" w:cs="Times New Roman" w:eastAsia="Times New Roman"/>
          <w:b w:val="0"/>
          <w:sz w:val="24"/>
        </w:rPr>
        <w:t>APPENDICE UNDICESIMA ALLA FASE SETTIMA, un falsificatore messo alla prova, quindici agosto duemilaventisei. I settanta Capitoli restano settanta. Le redazioni anteriori non sono modificate: le pietre deposte non si scalpellano. Resta sovrana la Regola di Ferro: dove la fonte documenta, l'opera certifica; dove la fonte tace, l'opera indaga e non afferma. Il valore di un'asserzione si misura sulle prove che ha superate, e non sull'assenza di prove.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