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before="0"/>
        <w:jc w:val="both"/>
      </w:pPr>
    </w:p>
    <w:p>
      <w:pPr>
        <w:spacing w:line="276" w:lineRule="auto" w:after="120" w:before="0"/>
        <w:jc w:val="both"/>
      </w:pPr>
    </w:p>
    <w:p>
      <w:pPr>
        <w:spacing w:line="276" w:lineRule="auto" w:after="120" w:before="0"/>
        <w:jc w:val="both"/>
      </w:pPr>
    </w:p>
    <w:p>
      <w:pPr>
        <w:spacing w:line="276" w:lineRule="auto" w:after="120" w:before="0"/>
        <w:jc w:val="both"/>
      </w:pPr>
    </w:p>
    <w:p>
      <w:pPr>
        <w:spacing w:line="276" w:lineRule="auto" w:after="200" w:before="0"/>
        <w:jc w:val="center"/>
      </w:pPr>
      <w:r>
        <w:rPr>
          <w:rFonts w:ascii="Times New Roman" w:hAnsi="Times New Roman" w:cs="Times New Roman" w:eastAsia="Times New Roman"/>
          <w:b/>
          <w:i w:val="0"/>
          <w:sz w:val="44"/>
        </w:rPr>
        <w:t>ITALIA NERA</w:t>
      </w:r>
    </w:p>
    <w:p>
      <w:pPr>
        <w:spacing w:line="276" w:lineRule="auto" w:after="280" w:before="0"/>
        <w:jc w:val="center"/>
      </w:pPr>
      <w:r>
        <w:rPr>
          <w:rFonts w:ascii="Times New Roman" w:hAnsi="Times New Roman" w:cs="Times New Roman" w:eastAsia="Times New Roman"/>
          <w:b/>
          <w:i w:val="0"/>
          <w:sz w:val="30"/>
        </w:rPr>
        <w:t>SEZIONE METAFISICA, RELIGIOSA ED ESOTERICA</w:t>
      </w:r>
    </w:p>
    <w:p>
      <w:pPr>
        <w:spacing w:line="276" w:lineRule="auto" w:after="480" w:before="0"/>
        <w:jc w:val="center"/>
      </w:pPr>
      <w:r>
        <w:rPr>
          <w:rFonts w:ascii="Times New Roman" w:hAnsi="Times New Roman" w:cs="Times New Roman" w:eastAsia="Times New Roman"/>
          <w:b w:val="0"/>
          <w:i/>
          <w:sz w:val="24"/>
        </w:rPr>
        <w:t>Verbale in venti blocchi: chiusura di L38, avanzamento di L36 e L37, formalizzazione di L02, versamento delle voci L39-L43</w:t>
      </w:r>
    </w:p>
    <w:p>
      <w:pPr>
        <w:spacing w:line="276" w:lineRule="auto" w:after="120" w:before="0"/>
        <w:jc w:val="center"/>
      </w:pPr>
      <w:r>
        <w:rPr>
          <w:rFonts w:ascii="Times New Roman" w:hAnsi="Times New Roman" w:cs="Times New Roman" w:eastAsia="Times New Roman"/>
          <w:b w:val="0"/>
          <w:i w:val="0"/>
          <w:sz w:val="24"/>
        </w:rPr>
        <w:t>Registro Unico Federato — Sezione autonoma</w:t>
      </w:r>
    </w:p>
    <w:p>
      <w:pPr>
        <w:spacing w:line="276" w:lineRule="auto" w:after="120" w:before="0"/>
        <w:jc w:val="center"/>
      </w:pPr>
      <w:r>
        <w:rPr>
          <w:rFonts w:ascii="Times New Roman" w:hAnsi="Times New Roman" w:cs="Times New Roman" w:eastAsia="Times New Roman"/>
          <w:b/>
          <w:i w:val="0"/>
          <w:sz w:val="24"/>
        </w:rPr>
        <w:t>Luigi De Michele</w:t>
      </w:r>
    </w:p>
    <w:p>
      <w:pPr>
        <w:spacing w:line="276" w:lineRule="auto" w:after="600" w:before="0"/>
        <w:jc w:val="center"/>
      </w:pPr>
      <w:r>
        <w:rPr>
          <w:rFonts w:ascii="Times New Roman" w:hAnsi="Times New Roman" w:cs="Times New Roman" w:eastAsia="Times New Roman"/>
          <w:b w:val="0"/>
          <w:i w:val="0"/>
          <w:sz w:val="24"/>
        </w:rPr>
        <w:t>Agosto duemilaventisei</w:t>
      </w:r>
    </w:p>
    <w:p>
      <w:pPr>
        <w:spacing w:line="276" w:lineRule="auto" w:after="160" w:before="0"/>
        <w:jc w:val="center"/>
      </w:pPr>
      <w:r>
        <w:rPr>
          <w:rFonts w:ascii="Times New Roman" w:hAnsi="Times New Roman" w:cs="Times New Roman" w:eastAsia="Times New Roman"/>
          <w:b/>
          <w:i w:val="0"/>
          <w:sz w:val="24"/>
        </w:rPr>
        <w:t>Nota di edizione</w:t>
      </w:r>
    </w:p>
    <w:p>
      <w:pPr>
        <w:spacing w:line="276" w:lineRule="auto" w:after="160" w:before="0"/>
        <w:ind w:firstLine="425"/>
        <w:jc w:val="both"/>
      </w:pPr>
      <w:r>
        <w:rPr>
          <w:rFonts w:ascii="Times New Roman" w:hAnsi="Times New Roman" w:cs="Times New Roman" w:eastAsia="Times New Roman"/>
          <w:b w:val="0"/>
          <w:i w:val="0"/>
          <w:sz w:val="22"/>
        </w:rPr>
        <w:t>Il presente verbale documenta la prima sessione esecutiva della Tavola Unica riordinata dal censimento delle lacune. Il numero dei blocchi segue la materia eseguita e non una quota prefissata, poiche un verbale esecutivo documenta operazioni compiute. Nessuna interrogazione in rete e stata effettuata: la sessione opera esclusivamente per ritorno al corpus gia acquisito, in adempimento della prescrizione di collazione preventiva che essa stessa istituisce. Delle quattro voci di testa della Tavola, la sola L38 era eseguibile in questa sede ed e stata eseguita per intero; le voci a interrogazione esterna ricevono la dichiarazione della condizione di esecuzione senza sollecitazione. Le pendenze aventi per oggetto atti d'autore sono portate al punto di ratifica e non oltre, secondo la regola dell'esecuzione delegata istituita nel verbale.</w:t>
      </w:r>
    </w:p>
    <w:p>
      <w:r>
        <w:br w:type="page"/>
      </w:r>
    </w:p>
    <w:p>
      <w:pPr>
        <w:spacing w:line="276" w:lineRule="auto" w:after="160" w:before="240"/>
        <w:jc w:val="left"/>
      </w:pPr>
      <w:r>
        <w:rPr>
          <w:rFonts w:ascii="Times New Roman" w:hAnsi="Times New Roman" w:cs="Times New Roman" w:eastAsia="Times New Roman"/>
          <w:b/>
          <w:i w:val="0"/>
          <w:sz w:val="26"/>
        </w:rPr>
        <w:t>Blocco I — Statuto della sessione e partizione delle voci</w:t>
      </w:r>
    </w:p>
    <w:p>
      <w:pPr>
        <w:spacing w:line="276" w:lineRule="auto" w:after="120" w:before="0"/>
        <w:ind w:firstLine="425"/>
        <w:jc w:val="both"/>
      </w:pPr>
      <w:r>
        <w:rPr>
          <w:rFonts w:ascii="Times New Roman" w:hAnsi="Times New Roman" w:cs="Times New Roman" w:eastAsia="Times New Roman"/>
          <w:b w:val="0"/>
          <w:i w:val="0"/>
          <w:sz w:val="24"/>
        </w:rPr>
        <w:t>La presente e la prima sessione esecutiva della Tavola Unica riordinata dal censimento, e il suo verbale e redatto secondo le regole del registro. Il numero dei blocchi segue la materia eseguita e non una quota prefissata, poiche un verbale esecutivo documenta operazioni compiute e non puo essere disteso oltre di esse senza violare la regola che vieta di affermare cio che non e stato fatto.</w:t>
      </w:r>
    </w:p>
    <w:p>
      <w:pPr>
        <w:spacing w:line="276" w:lineRule="auto" w:after="120" w:before="0"/>
        <w:ind w:firstLine="425"/>
        <w:jc w:val="both"/>
      </w:pPr>
      <w:r>
        <w:rPr>
          <w:rFonts w:ascii="Times New Roman" w:hAnsi="Times New Roman" w:cs="Times New Roman" w:eastAsia="Times New Roman"/>
          <w:b w:val="0"/>
          <w:i w:val="0"/>
          <w:sz w:val="24"/>
        </w:rPr>
        <w:t>La sessione opera sotto un vincolo dichiarato: nessuna interrogazione esterna e stata effettuata, ne in rete ne presso sedi fisiche. Ne discende la partizione delle voci di testa della Tavola. Delle quattro voci in prima posizione, tre — L34, L26 e L25 — richiedono interrogazione di fonti normative o di serie pubbliche esterne al corpus, e non sono eseguibili in questa sede; una — L38 — richiede il ritorno a fonti gia acquisite al corpus, ed e eseguibile integralmente.</w:t>
      </w:r>
    </w:p>
    <w:p>
      <w:pPr>
        <w:spacing w:line="276" w:lineRule="auto" w:after="120" w:before="0"/>
        <w:ind w:firstLine="425"/>
        <w:jc w:val="both"/>
      </w:pPr>
      <w:r>
        <w:rPr>
          <w:rFonts w:ascii="Times New Roman" w:hAnsi="Times New Roman" w:cs="Times New Roman" w:eastAsia="Times New Roman"/>
          <w:b w:val="0"/>
          <w:i w:val="0"/>
          <w:sz w:val="24"/>
        </w:rPr>
        <w:t>La sessione esegue percio L38 per intero, avanza L36 e L37 fino al limite di cio che il corpus consente, formalizza la componente interna di L02, e dichiara per le voci esterne la condizione di esecuzione, senza sollecitarla.</w:t>
      </w:r>
    </w:p>
    <w:p>
      <w:pPr>
        <w:spacing w:line="276" w:lineRule="auto" w:after="240" w:before="0"/>
        <w:ind w:firstLine="425"/>
        <w:jc w:val="both"/>
      </w:pPr>
      <w:r>
        <w:rPr>
          <w:rFonts w:ascii="Times New Roman" w:hAnsi="Times New Roman" w:cs="Times New Roman" w:eastAsia="Times New Roman"/>
          <w:b w:val="0"/>
          <w:i/>
          <w:sz w:val="22"/>
        </w:rPr>
        <w:t>Sintesi del dato nuovo acquisito: si apre la prima sessione esecutiva con partizione dichiarata fra voci eseguibili sul corpus e voci a interrogazione esterna, e con formato del verbale commisurato alla materia eseguita.</w:t>
      </w:r>
    </w:p>
    <w:p>
      <w:pPr>
        <w:spacing w:line="276" w:lineRule="auto" w:after="160" w:before="240"/>
        <w:jc w:val="left"/>
      </w:pPr>
      <w:r>
        <w:rPr>
          <w:rFonts w:ascii="Times New Roman" w:hAnsi="Times New Roman" w:cs="Times New Roman" w:eastAsia="Times New Roman"/>
          <w:b/>
          <w:i w:val="0"/>
          <w:sz w:val="26"/>
        </w:rPr>
        <w:t>Blocco II — L38, prima componente: il ritorno alla fonte</w:t>
      </w:r>
    </w:p>
    <w:p>
      <w:pPr>
        <w:spacing w:line="276" w:lineRule="auto" w:after="120" w:before="0"/>
        <w:ind w:firstLine="425"/>
        <w:jc w:val="both"/>
      </w:pPr>
      <w:r>
        <w:rPr>
          <w:rFonts w:ascii="Times New Roman" w:hAnsi="Times New Roman" w:cs="Times New Roman" w:eastAsia="Times New Roman"/>
          <w:b w:val="0"/>
          <w:i w:val="0"/>
          <w:sz w:val="24"/>
        </w:rPr>
        <w:t>Il censimento aveva classificato la prima componente di L38 — la doppia grafia della denominazione metodologica — come mista, prescrivendo il ritorno alla fonte primaria per stabilire quale forma fosse attestata e quale derivasse da errore di trascrizione. Il ritorno e stato compiuto, e il suo esito falsifica la premessa della classificazione.</w:t>
      </w:r>
    </w:p>
    <w:p>
      <w:pPr>
        <w:spacing w:line="276" w:lineRule="auto" w:after="120" w:before="0"/>
        <w:ind w:firstLine="425"/>
        <w:jc w:val="both"/>
      </w:pPr>
      <w:r>
        <w:rPr>
          <w:rFonts w:ascii="Times New Roman" w:hAnsi="Times New Roman" w:cs="Times New Roman" w:eastAsia="Times New Roman"/>
          <w:b w:val="0"/>
          <w:i w:val="0"/>
          <w:sz w:val="24"/>
        </w:rPr>
        <w:t>Il corpus contiene, nel codice metodologico autonomo dell'opera, un atto d'autore datato due agosto duemilaventisei, denominato atto di rinominazione, che dispone quanto segue: la metodologia complessiva dell'opera, consacrata come Metodologia Norimaviv — denominazione composta dai nomi delle due citta dei poli, quella del processo che fondo la prova documentale e quella del servizio che fondo la ricerca paziente — assume il nome definitivo di Metodologia Normaviva, con designazione di edizione in lettere successive a partire dalla prima.</w:t>
      </w:r>
    </w:p>
    <w:p>
      <w:pPr>
        <w:spacing w:line="276" w:lineRule="auto" w:after="120" w:before="0"/>
        <w:ind w:firstLine="425"/>
        <w:jc w:val="both"/>
      </w:pPr>
      <w:r>
        <w:rPr>
          <w:rFonts w:ascii="Times New Roman" w:hAnsi="Times New Roman" w:cs="Times New Roman" w:eastAsia="Times New Roman"/>
          <w:b w:val="0"/>
          <w:i w:val="0"/>
          <w:sz w:val="24"/>
        </w:rPr>
        <w:t>L'atto dispone inoltre due regole: che i documenti gia prodotti, i quali portano nei loro strati il nome antico, non si riscrivono, restando il nome antico negli strati come testimone della propria epoca; e che vige l'equivalenza piena, per cui ovunque negli strati storici si legga la denominazione antica si intende la medesima metodologia che il codice denomina con quella nuova.</w:t>
      </w:r>
    </w:p>
    <w:p>
      <w:pPr>
        <w:spacing w:line="276" w:lineRule="auto" w:after="240" w:before="0"/>
        <w:ind w:firstLine="425"/>
        <w:jc w:val="both"/>
      </w:pPr>
      <w:r>
        <w:rPr>
          <w:rFonts w:ascii="Times New Roman" w:hAnsi="Times New Roman" w:cs="Times New Roman" w:eastAsia="Times New Roman"/>
          <w:b w:val="0"/>
          <w:i/>
          <w:sz w:val="22"/>
        </w:rPr>
        <w:t>Sintesi del dato nuovo acquisito: il ritorno alla fonte reperisce nel corpus un atto di rinominazione d'autore del due agosto duemilaventisei, con regola di non riscrittura degli strati e regola di equivalenza piena fra le due denominazioni.</w:t>
      </w:r>
    </w:p>
    <w:p>
      <w:pPr>
        <w:spacing w:line="276" w:lineRule="auto" w:after="160" w:before="240"/>
        <w:jc w:val="left"/>
      </w:pPr>
      <w:r>
        <w:rPr>
          <w:rFonts w:ascii="Times New Roman" w:hAnsi="Times New Roman" w:cs="Times New Roman" w:eastAsia="Times New Roman"/>
          <w:b/>
          <w:i w:val="0"/>
          <w:sz w:val="26"/>
        </w:rPr>
        <w:t>Blocco III — La riqualificazione della componente: non errore ma stratificazione documentata</w:t>
      </w:r>
    </w:p>
    <w:p>
      <w:pPr>
        <w:spacing w:line="276" w:lineRule="auto" w:after="120" w:before="0"/>
        <w:ind w:firstLine="425"/>
        <w:jc w:val="both"/>
      </w:pPr>
      <w:r>
        <w:rPr>
          <w:rFonts w:ascii="Times New Roman" w:hAnsi="Times New Roman" w:cs="Times New Roman" w:eastAsia="Times New Roman"/>
          <w:b w:val="0"/>
          <w:i w:val="0"/>
          <w:sz w:val="24"/>
        </w:rPr>
        <w:t>L'esito impone la riqualificazione della componente. Le due grafie non stanno fra loro come forma corretta ed errore di trascrizione: stanno come denominazione anteriore e denominazione posteriore di una medesima entita, collegate da un atto documentato che ne dispone la successione e ne disciplina la coesistenza negli strati.</w:t>
      </w:r>
    </w:p>
    <w:p>
      <w:pPr>
        <w:spacing w:line="276" w:lineRule="auto" w:after="120" w:before="0"/>
        <w:ind w:firstLine="425"/>
        <w:jc w:val="both"/>
      </w:pPr>
      <w:r>
        <w:rPr>
          <w:rFonts w:ascii="Times New Roman" w:hAnsi="Times New Roman" w:cs="Times New Roman" w:eastAsia="Times New Roman"/>
          <w:b w:val="0"/>
          <w:i w:val="0"/>
          <w:sz w:val="24"/>
        </w:rPr>
        <w:t>Il registro rileva che il caso rientra esattamente nella disciplina della forma canonica gia consolidata nell'apparato tecnico dell'opera, la quale prevede che le nuove forme nominali si aggiungano alla tabella degli alias senza sostituire la forma canonica, e che la modifica della forma canonica sia ammessa in casi eccezionali documentati. L'atto di rinominazione costituisce precisamente uno di tali casi: una modifica della forma canonica per atto espresso, con conservazione della forma anteriore quale alias storico.</w:t>
      </w:r>
    </w:p>
    <w:p>
      <w:pPr>
        <w:spacing w:line="276" w:lineRule="auto" w:after="120" w:before="0"/>
        <w:ind w:firstLine="425"/>
        <w:jc w:val="both"/>
      </w:pPr>
      <w:r>
        <w:rPr>
          <w:rFonts w:ascii="Times New Roman" w:hAnsi="Times New Roman" w:cs="Times New Roman" w:eastAsia="Times New Roman"/>
          <w:b w:val="0"/>
          <w:i w:val="0"/>
          <w:sz w:val="24"/>
        </w:rPr>
        <w:t>Ne discende la sistemazione: forma canonica per ogni nuovo strato e la denominazione posteriore; la denominazione anteriore e registrata nella tabella degli alias nella categoria delle varianti storiche documentate, con fonte di prima attestazione nei documenti anteriori al due agosto e con nota di disambiguazione costituita dal riferimento all'atto di rinominazione.</w:t>
      </w:r>
    </w:p>
    <w:p>
      <w:pPr>
        <w:spacing w:line="276" w:lineRule="auto" w:after="240" w:before="0"/>
        <w:ind w:firstLine="425"/>
        <w:jc w:val="both"/>
      </w:pPr>
      <w:r>
        <w:rPr>
          <w:rFonts w:ascii="Times New Roman" w:hAnsi="Times New Roman" w:cs="Times New Roman" w:eastAsia="Times New Roman"/>
          <w:b w:val="0"/>
          <w:i/>
          <w:sz w:val="22"/>
        </w:rPr>
        <w:t>Sintesi del dato nuovo acquisito: la doppia grafia e riqualificata da errore presunto a stratificazione documentata, con sistemazione secondo la disciplina della forma canonica: denominazione posteriore canonica, denominazione anteriore registrata come alias storico con nota di disambiguazione.</w:t>
      </w:r>
    </w:p>
    <w:p>
      <w:pPr>
        <w:spacing w:line="276" w:lineRule="auto" w:after="160" w:before="240"/>
        <w:jc w:val="left"/>
      </w:pPr>
      <w:r>
        <w:rPr>
          <w:rFonts w:ascii="Times New Roman" w:hAnsi="Times New Roman" w:cs="Times New Roman" w:eastAsia="Times New Roman"/>
          <w:b/>
          <w:i w:val="0"/>
          <w:sz w:val="26"/>
        </w:rPr>
        <w:t>Blocco IV — L'effetto sulla lacuna generatrice e la prescrizione sulle interrogazioni</w:t>
      </w:r>
    </w:p>
    <w:p>
      <w:pPr>
        <w:spacing w:line="276" w:lineRule="auto" w:after="120" w:before="0"/>
        <w:ind w:firstLine="425"/>
        <w:jc w:val="both"/>
      </w:pPr>
      <w:r>
        <w:rPr>
          <w:rFonts w:ascii="Times New Roman" w:hAnsi="Times New Roman" w:cs="Times New Roman" w:eastAsia="Times New Roman"/>
          <w:b w:val="0"/>
          <w:i w:val="0"/>
          <w:sz w:val="24"/>
        </w:rPr>
        <w:t>Il censimento aveva attribuito a L38 priorita indipendente dal rendimento diretto in quanto lacuna generatrice: una doppia grafia non risolta produce, nelle interrogazioni per chiave, il mancato reperimento di occorrenze esistenti.</w:t>
      </w:r>
    </w:p>
    <w:p>
      <w:pPr>
        <w:spacing w:line="276" w:lineRule="auto" w:after="120" w:before="0"/>
        <w:ind w:firstLine="425"/>
        <w:jc w:val="both"/>
      </w:pPr>
      <w:r>
        <w:rPr>
          <w:rFonts w:ascii="Times New Roman" w:hAnsi="Times New Roman" w:cs="Times New Roman" w:eastAsia="Times New Roman"/>
          <w:b w:val="0"/>
          <w:i w:val="0"/>
          <w:sz w:val="24"/>
        </w:rPr>
        <w:t>La risoluzione non elimina questo effetto: lo disciplina. Poiche gli strati anteriori non si riscrivono per regola espressa dell'atto stesso, le occorrenze della denominazione anteriore permangono nel corpus a titolo legittimo, e permarranno in ogni edizione futura per effetto della cumulativita. Ne discende che ogni interrogazione del corpus per la chiave metodologica deve essere condotta con entrambe le denominazioni, in via permanente e non transitoria.</w:t>
      </w:r>
    </w:p>
    <w:p>
      <w:pPr>
        <w:spacing w:line="276" w:lineRule="auto" w:after="120" w:before="0"/>
        <w:ind w:firstLine="425"/>
        <w:jc w:val="both"/>
      </w:pPr>
      <w:r>
        <w:rPr>
          <w:rFonts w:ascii="Times New Roman" w:hAnsi="Times New Roman" w:cs="Times New Roman" w:eastAsia="Times New Roman"/>
          <w:b w:val="0"/>
          <w:i w:val="0"/>
          <w:sz w:val="24"/>
        </w:rPr>
        <w:t>Il registro iscrive percio la prescrizione operativa: le due denominazioni costituiscono una coppia di chiavi solidali, e l'interrogazione condotta con una sola di esse e dichiarata incompleta per costruzione. La prescrizione si estende per identita di ragione a ogni altra entita del corpus dotata di alias storici documentati, e la tabella degli alias assume la funzione di repertorio delle chiavi solidali.</w:t>
      </w:r>
    </w:p>
    <w:p>
      <w:pPr>
        <w:spacing w:line="276" w:lineRule="auto" w:after="240" w:before="0"/>
        <w:ind w:firstLine="425"/>
        <w:jc w:val="both"/>
      </w:pPr>
      <w:r>
        <w:rPr>
          <w:rFonts w:ascii="Times New Roman" w:hAnsi="Times New Roman" w:cs="Times New Roman" w:eastAsia="Times New Roman"/>
          <w:b w:val="0"/>
          <w:i/>
          <w:sz w:val="22"/>
        </w:rPr>
        <w:t>Sintesi del dato nuovo acquisito: la lacuna generatrice e chiusa mediante prescrizione permanente delle chiavi solidali, con estensione della regola a ogni entita dotata di alias storici e con attribuzione alla tabella degli alias della funzione di repertorio delle chiavi.</w:t>
      </w:r>
    </w:p>
    <w:p>
      <w:pPr>
        <w:spacing w:line="276" w:lineRule="auto" w:after="160" w:before="240"/>
        <w:jc w:val="left"/>
      </w:pPr>
      <w:r>
        <w:rPr>
          <w:rFonts w:ascii="Times New Roman" w:hAnsi="Times New Roman" w:cs="Times New Roman" w:eastAsia="Times New Roman"/>
          <w:b/>
          <w:i w:val="0"/>
          <w:sz w:val="26"/>
        </w:rPr>
        <w:t>Blocco V — Il rilievo che eccede la voce: la pendenza gia risolta e non registrata</w:t>
      </w:r>
    </w:p>
    <w:p>
      <w:pPr>
        <w:spacing w:line="276" w:lineRule="auto" w:after="120" w:before="0"/>
        <w:ind w:firstLine="425"/>
        <w:jc w:val="both"/>
      </w:pPr>
      <w:r>
        <w:rPr>
          <w:rFonts w:ascii="Times New Roman" w:hAnsi="Times New Roman" w:cs="Times New Roman" w:eastAsia="Times New Roman"/>
          <w:b w:val="0"/>
          <w:i w:val="0"/>
          <w:sz w:val="24"/>
        </w:rPr>
        <w:t>La chiusura della componente produce un rilievo che eccede la voce e che il registro dichiara senza attenuazioni. L'atto di rinominazione e datato due agosto duemilaventisei. La pendenza sulla doppia grafia e rimasta iscritta nell'elenco delle pendenze permanenti fino al presente censimento, ed e stata censita come voce aperta a ritorno di fonte non compiuto. Per l'intero intervallo, una pendenza gia risolta negli strati del corpus e stata trattata come aperta, perche l'elenco delle pendenze non era stato collazionato contro il corpus.</w:t>
      </w:r>
    </w:p>
    <w:p>
      <w:pPr>
        <w:spacing w:line="276" w:lineRule="auto" w:after="120" w:before="0"/>
        <w:ind w:firstLine="425"/>
        <w:jc w:val="both"/>
      </w:pPr>
      <w:r>
        <w:rPr>
          <w:rFonts w:ascii="Times New Roman" w:hAnsi="Times New Roman" w:cs="Times New Roman" w:eastAsia="Times New Roman"/>
          <w:b w:val="0"/>
          <w:i w:val="0"/>
          <w:sz w:val="24"/>
        </w:rPr>
        <w:t>Il registro istituisce conseguentemente una quinta categoria, che si aggiunge alle quattro acquisite dal censimento: le pseudo-lacune, cioe le voci che figurano aperte nell'inventario ma risultano gia risolte negli strati, per difetto di collazione fra l'inventario e il corpus.</w:t>
      </w:r>
    </w:p>
    <w:p>
      <w:pPr>
        <w:spacing w:line="276" w:lineRule="auto" w:after="120" w:before="0"/>
        <w:ind w:firstLine="425"/>
        <w:jc w:val="both"/>
      </w:pPr>
      <w:r>
        <w:rPr>
          <w:rFonts w:ascii="Times New Roman" w:hAnsi="Times New Roman" w:cs="Times New Roman" w:eastAsia="Times New Roman"/>
          <w:b w:val="0"/>
          <w:i w:val="0"/>
          <w:sz w:val="24"/>
        </w:rPr>
        <w:t>Ne discende una prescrizione di metodo: ogni censimento di lacune deve essere preceduto dalla collazione delle voci contro il corpus, poiche in un'opera a cumulativita preservativa la soluzione di una pendenza puo giacere in uno strato senza che alcun elenco la registri. La prescrizione e retroattiva: le trentasette voci restanti del censimento vanno sottoposte alla medesima collazione prima della loro esecuzione, e la presente sessione la applica alle voci che tratta.</w:t>
      </w:r>
    </w:p>
    <w:p>
      <w:pPr>
        <w:spacing w:line="276" w:lineRule="auto" w:after="240" w:before="0"/>
        <w:ind w:firstLine="425"/>
        <w:jc w:val="both"/>
      </w:pPr>
      <w:r>
        <w:rPr>
          <w:rFonts w:ascii="Times New Roman" w:hAnsi="Times New Roman" w:cs="Times New Roman" w:eastAsia="Times New Roman"/>
          <w:b w:val="0"/>
          <w:i/>
          <w:sz w:val="22"/>
        </w:rPr>
        <w:t>Sintesi del dato nuovo acquisito: si istituisce la categoria delle pseudo-lacune, voci aperte in inventario ma gia risolte negli strati, e si prescrive la collazione preventiva contro il corpus di ogni voce censita, con applicazione retroattiva alle trentasette restanti.</w:t>
      </w:r>
    </w:p>
    <w:p>
      <w:pPr>
        <w:spacing w:line="276" w:lineRule="auto" w:after="160" w:before="240"/>
        <w:jc w:val="left"/>
      </w:pPr>
      <w:r>
        <w:rPr>
          <w:rFonts w:ascii="Times New Roman" w:hAnsi="Times New Roman" w:cs="Times New Roman" w:eastAsia="Times New Roman"/>
          <w:b/>
          <w:i w:val="0"/>
          <w:sz w:val="26"/>
        </w:rPr>
        <w:t>Blocco VI — L38, seconda componente: la ricomposizione della linea speculare</w:t>
      </w:r>
    </w:p>
    <w:p>
      <w:pPr>
        <w:spacing w:line="276" w:lineRule="auto" w:after="120" w:before="0"/>
        <w:ind w:firstLine="425"/>
        <w:jc w:val="both"/>
      </w:pPr>
      <w:r>
        <w:rPr>
          <w:rFonts w:ascii="Times New Roman" w:hAnsi="Times New Roman" w:cs="Times New Roman" w:eastAsia="Times New Roman"/>
          <w:b w:val="0"/>
          <w:i w:val="0"/>
          <w:sz w:val="24"/>
        </w:rPr>
        <w:t>La seconda componente di L38 richiedeva la ricomposizione della linea del Registro Speculare. La collazione del corpus la restituisce per intero, e la discordanza che aveva generato la pendenza si rivela sistematica e non accidentale.</w:t>
      </w:r>
    </w:p>
    <w:p>
      <w:pPr>
        <w:spacing w:line="276" w:lineRule="auto" w:after="120" w:before="0"/>
        <w:ind w:firstLine="425"/>
        <w:jc w:val="both"/>
      </w:pPr>
      <w:r>
        <w:rPr>
          <w:rFonts w:ascii="Times New Roman" w:hAnsi="Times New Roman" w:cs="Times New Roman" w:eastAsia="Times New Roman"/>
          <w:b w:val="0"/>
          <w:i w:val="0"/>
          <w:sz w:val="24"/>
        </w:rPr>
        <w:t>Il Registro Speculare del Caso Moro — registro autonomo degli anelli profondi, secondo dei tre documenti morotei — esiste nel corpus in due esemplari, le cui segnature di archivio recano la numerazione terza con qualifica di recepimento definitivo e la numerazione quarta con qualifica di applicazione definitiva. Entrambi gli esemplari recano tuttavia, in frontespizio, la dicitura di edizione seconda, e incorporano come strato zero, riprodotta verbatim, l'edizione prima con la metodologia del triplo salto carpiato e le estrazioni del terzo e del quarto anello.</w:t>
      </w:r>
    </w:p>
    <w:p>
      <w:pPr>
        <w:spacing w:line="276" w:lineRule="auto" w:after="120" w:before="0"/>
        <w:ind w:firstLine="425"/>
        <w:jc w:val="both"/>
      </w:pPr>
      <w:r>
        <w:rPr>
          <w:rFonts w:ascii="Times New Roman" w:hAnsi="Times New Roman" w:cs="Times New Roman" w:eastAsia="Times New Roman"/>
          <w:b w:val="0"/>
          <w:i w:val="0"/>
          <w:sz w:val="24"/>
        </w:rPr>
        <w:t>La discordanza fra le due serie numeriche e dunque la seguente: la numerazione delle segnature conta gli stati di produzione del documento, mentre la numerazione delle edizioni conta gli strati cumulativi che esso contiene. Le due serie misurano grandezze diverse e sono entrambe corrette nel proprio ordine.</w:t>
      </w:r>
    </w:p>
    <w:p>
      <w:pPr>
        <w:spacing w:line="276" w:lineRule="auto" w:after="240" w:before="0"/>
        <w:ind w:firstLine="425"/>
        <w:jc w:val="both"/>
      </w:pPr>
      <w:r>
        <w:rPr>
          <w:rFonts w:ascii="Times New Roman" w:hAnsi="Times New Roman" w:cs="Times New Roman" w:eastAsia="Times New Roman"/>
          <w:b w:val="0"/>
          <w:i/>
          <w:sz w:val="22"/>
        </w:rPr>
        <w:t>Sintesi del dato nuovo acquisito: la linea speculare e ricomposta e la discordanza fra numerazione delle segnature e numerazione delle edizioni e riqualificata da anomalia a sistematica, misurando le due serie rispettivamente gli stati di produzione e gli strati cumulativi.</w:t>
      </w:r>
    </w:p>
    <w:p>
      <w:pPr>
        <w:spacing w:line="276" w:lineRule="auto" w:after="160" w:before="240"/>
        <w:jc w:val="left"/>
      </w:pPr>
      <w:r>
        <w:rPr>
          <w:rFonts w:ascii="Times New Roman" w:hAnsi="Times New Roman" w:cs="Times New Roman" w:eastAsia="Times New Roman"/>
          <w:b/>
          <w:i w:val="0"/>
          <w:sz w:val="26"/>
        </w:rPr>
        <w:t>Blocco VII — La tavola di concordanza e la sua estensione ai documenti gemelli</w:t>
      </w:r>
    </w:p>
    <w:p>
      <w:pPr>
        <w:spacing w:line="276" w:lineRule="auto" w:after="120" w:before="0"/>
        <w:ind w:firstLine="425"/>
        <w:jc w:val="both"/>
      </w:pPr>
      <w:r>
        <w:rPr>
          <w:rFonts w:ascii="Times New Roman" w:hAnsi="Times New Roman" w:cs="Times New Roman" w:eastAsia="Times New Roman"/>
          <w:b w:val="0"/>
          <w:i w:val="0"/>
          <w:sz w:val="24"/>
        </w:rPr>
        <w:t>Il registro fissa la tavola di concordanza della linea speculare. L'edizione prima, con la metodologia del triplo salto carpiato, non esiste come esemplare autonomo nel corpus conferito e vive incorporata quale strato zero degli esemplari successivi, secondo la legge di cumulativita. L'edizione seconda, che applica al documento la metodologia consacrata nella forma dell'iceberg e vi aggiunge il quinto anello con la regola della decompressione, esiste in due stati di produzione successivi: il recepimento definitivo e l'applicazione definitiva.</w:t>
      </w:r>
    </w:p>
    <w:p>
      <w:pPr>
        <w:spacing w:line="276" w:lineRule="auto" w:after="120" w:before="0"/>
        <w:ind w:firstLine="425"/>
        <w:jc w:val="both"/>
      </w:pPr>
      <w:r>
        <w:rPr>
          <w:rFonts w:ascii="Times New Roman" w:hAnsi="Times New Roman" w:cs="Times New Roman" w:eastAsia="Times New Roman"/>
          <w:b w:val="0"/>
          <w:i w:val="0"/>
          <w:sz w:val="24"/>
        </w:rPr>
        <w:t>La verifica sui documenti gemelli conferma la sistematicita: il Registro Analitico presenta la medesima struttura, con stati di produzione a segnatura progressiva — recepimento, applicazione, federazione nodale — sopra una serie di edizioni cumulative interna; e il Registro di Scavo presenta due stati omologhi. La regola di concordanza vale percio per l'intero apparato moroteo e non per il solo Speculare.</w:t>
      </w:r>
    </w:p>
    <w:p>
      <w:pPr>
        <w:spacing w:line="276" w:lineRule="auto" w:after="120" w:before="0"/>
        <w:ind w:firstLine="425"/>
        <w:jc w:val="both"/>
      </w:pPr>
      <w:r>
        <w:rPr>
          <w:rFonts w:ascii="Times New Roman" w:hAnsi="Times New Roman" w:cs="Times New Roman" w:eastAsia="Times New Roman"/>
          <w:b w:val="0"/>
          <w:i w:val="0"/>
          <w:sz w:val="24"/>
        </w:rPr>
        <w:t>Il registro iscrive la regola in forma generale: nell'apparato dell'opera, la segnatura di archivio designa lo stato di produzione e l'edizione designa lo strato; la citazione completa di un luogo richiede entrambe le coordinate, e la citazione per sola segnatura o per sola edizione e dichiarata ambigua per costruzione.</w:t>
      </w:r>
    </w:p>
    <w:p>
      <w:pPr>
        <w:spacing w:line="276" w:lineRule="auto" w:after="240" w:before="0"/>
        <w:ind w:firstLine="425"/>
        <w:jc w:val="both"/>
      </w:pPr>
      <w:r>
        <w:rPr>
          <w:rFonts w:ascii="Times New Roman" w:hAnsi="Times New Roman" w:cs="Times New Roman" w:eastAsia="Times New Roman"/>
          <w:b w:val="0"/>
          <w:i/>
          <w:sz w:val="22"/>
        </w:rPr>
        <w:t>Sintesi del dato nuovo acquisito: si fissa la tavola di concordanza della linea speculare e si generalizza la regola all'intero apparato moroteo, con prescrizione della doppia coordinata di citazione, per segnatura e per edizione.</w:t>
      </w:r>
    </w:p>
    <w:p>
      <w:pPr>
        <w:spacing w:line="276" w:lineRule="auto" w:after="160" w:before="240"/>
        <w:jc w:val="left"/>
      </w:pPr>
      <w:r>
        <w:rPr>
          <w:rFonts w:ascii="Times New Roman" w:hAnsi="Times New Roman" w:cs="Times New Roman" w:eastAsia="Times New Roman"/>
          <w:b/>
          <w:i w:val="0"/>
          <w:sz w:val="26"/>
        </w:rPr>
        <w:t>Blocco VIII — Le istruttorie aperte del Registro Speculare quali lacune non censite</w:t>
      </w:r>
    </w:p>
    <w:p>
      <w:pPr>
        <w:spacing w:line="276" w:lineRule="auto" w:after="120" w:before="0"/>
        <w:ind w:firstLine="425"/>
        <w:jc w:val="both"/>
      </w:pPr>
      <w:r>
        <w:rPr>
          <w:rFonts w:ascii="Times New Roman" w:hAnsi="Times New Roman" w:cs="Times New Roman" w:eastAsia="Times New Roman"/>
          <w:b w:val="0"/>
          <w:i w:val="0"/>
          <w:sz w:val="24"/>
        </w:rPr>
        <w:t>La collazione dello Speculare produce un rinvenimento ulteriore: la chiusura dell'edizione assegna istruttorie espressamente formulate, che costituiscono lacune dichiarate del progetto e che il censimento non aveva compreso, essendo la sua copertura limitata al ciclo presente per il limite dichiarato al blocco sesto di quel documento.</w:t>
      </w:r>
    </w:p>
    <w:p>
      <w:pPr>
        <w:spacing w:line="276" w:lineRule="auto" w:after="120" w:before="0"/>
        <w:ind w:firstLine="425"/>
        <w:jc w:val="both"/>
      </w:pPr>
      <w:r>
        <w:rPr>
          <w:rFonts w:ascii="Times New Roman" w:hAnsi="Times New Roman" w:cs="Times New Roman" w:eastAsia="Times New Roman"/>
          <w:b w:val="0"/>
          <w:i w:val="0"/>
          <w:sz w:val="24"/>
        </w:rPr>
        <w:t>Le istruttorie leggibili negli esemplari verificati comprendono: la lettura integrale delle due piste dei sondaggi paralleli, quella del tramite d'affari e quella dei canali carcerari, con il vincolo che la centralita dell'ufficio non e condotta di chi lo resse; la risalita delle dichiarazioni dei due dichiaranti alle fonti processuali proprie, con la verifica della dichiarazione di nomina da parte dei servizi; l'istruttoria del protettore parigino quanto ad anni, forme e consapevolezza, con l'avvertenza onomastica iscritta nel registro degli artefatti; l'identificazione dell'ordigno cui si riferisce l'accertamento elvetico e il censimento dei ritrovamenti del medesimo stock; e, sovraordinata, la conversione del blocco stenografico.</w:t>
      </w:r>
    </w:p>
    <w:p>
      <w:pPr>
        <w:spacing w:line="276" w:lineRule="auto" w:after="120" w:before="0"/>
        <w:ind w:firstLine="425"/>
        <w:jc w:val="both"/>
      </w:pPr>
      <w:r>
        <w:rPr>
          <w:rFonts w:ascii="Times New Roman" w:hAnsi="Times New Roman" w:cs="Times New Roman" w:eastAsia="Times New Roman"/>
          <w:b w:val="0"/>
          <w:i w:val="0"/>
          <w:sz w:val="24"/>
        </w:rPr>
        <w:t>Il registro rileva che queste voci confermano nel merito la copertura parziale del censimento, gia dichiarata come primo limite, e ne quantificano per la prima volta l'entita su un documento campione: un solo registro anteriore al ciclo contribuisce cinque voci censibili.</w:t>
      </w:r>
    </w:p>
    <w:p>
      <w:pPr>
        <w:spacing w:line="276" w:lineRule="auto" w:after="240" w:before="0"/>
        <w:ind w:firstLine="425"/>
        <w:jc w:val="both"/>
      </w:pPr>
      <w:r>
        <w:rPr>
          <w:rFonts w:ascii="Times New Roman" w:hAnsi="Times New Roman" w:cs="Times New Roman" w:eastAsia="Times New Roman"/>
          <w:b w:val="0"/>
          <w:i/>
          <w:sz w:val="22"/>
        </w:rPr>
        <w:t>Sintesi del dato nuovo acquisito: la collazione rinviene nel Registro Speculare cinque istruttorie aperte non comprese nel censimento, quantificando per la prima volta su un documento campione l'entita della copertura parziale dichiarata.</w:t>
      </w:r>
    </w:p>
    <w:p>
      <w:pPr>
        <w:spacing w:line="276" w:lineRule="auto" w:after="160" w:before="240"/>
        <w:jc w:val="left"/>
      </w:pPr>
      <w:r>
        <w:rPr>
          <w:rFonts w:ascii="Times New Roman" w:hAnsi="Times New Roman" w:cs="Times New Roman" w:eastAsia="Times New Roman"/>
          <w:b/>
          <w:i w:val="0"/>
          <w:sz w:val="26"/>
        </w:rPr>
        <w:t>Blocco IX — Il versamento delle voci L39-L43 con classificazione sommaria</w:t>
      </w:r>
    </w:p>
    <w:p>
      <w:pPr>
        <w:spacing w:line="276" w:lineRule="auto" w:after="120" w:before="0"/>
        <w:ind w:firstLine="425"/>
        <w:jc w:val="both"/>
      </w:pPr>
      <w:r>
        <w:rPr>
          <w:rFonts w:ascii="Times New Roman" w:hAnsi="Times New Roman" w:cs="Times New Roman" w:eastAsia="Times New Roman"/>
          <w:b w:val="0"/>
          <w:i w:val="0"/>
          <w:sz w:val="24"/>
        </w:rPr>
        <w:t>Il registro versa le cinque istruttorie nel censimento quali voci da L39 a L43, con classificazione sommaria da consolidare nella prossima sessione di censimento, e con la dichiarazione espressa che esse non entrano nel computo gia eseguito, il quale non si ricalcola per aggiunte successive ma soltanto in sede di estensione formale del censimento.</w:t>
      </w:r>
    </w:p>
    <w:p>
      <w:pPr>
        <w:spacing w:line="276" w:lineRule="auto" w:after="120" w:before="0"/>
        <w:ind w:firstLine="425"/>
        <w:jc w:val="both"/>
      </w:pPr>
      <w:r>
        <w:rPr>
          <w:rFonts w:ascii="Times New Roman" w:hAnsi="Times New Roman" w:cs="Times New Roman" w:eastAsia="Times New Roman"/>
          <w:b w:val="0"/>
          <w:i w:val="0"/>
          <w:sz w:val="24"/>
        </w:rPr>
        <w:t>L39, conversione del blocco stenografico: classe di elaborazione su materiale acquisito, rimediabilita alta per onerosita. L40, lettura integrale delle due piste dei sondaggi paralleli: sede mista, atti gia acquisiti ed atti processuali ulteriori della nona famiglia, rimediabilita media. L41, risalita delle dichiarazioni alle fonti processuali proprie: sede amministrativa ordinaria della nona famiglia, rimediabilita media. L42, istruttoria del protettore parigino: sede mista, in parte estera, rimediabilita media con contrassegno di classificazione per inferenza. L43, identificazione dell'ordigno e censimento dei ritrovamenti del medesimo stock: sede amministrativa ordinaria della nona famiglia con componente materiale, rimediabilita media per la componente documentale e da accertare per quella materiale.</w:t>
      </w:r>
    </w:p>
    <w:p>
      <w:pPr>
        <w:spacing w:line="276" w:lineRule="auto" w:after="120" w:before="0"/>
        <w:ind w:firstLine="425"/>
        <w:jc w:val="both"/>
      </w:pPr>
      <w:r>
        <w:rPr>
          <w:rFonts w:ascii="Times New Roman" w:hAnsi="Times New Roman" w:cs="Times New Roman" w:eastAsia="Times New Roman"/>
          <w:b w:val="0"/>
          <w:i w:val="0"/>
          <w:sz w:val="24"/>
        </w:rPr>
        <w:t>Il registro annota che la distribuzione sommaria delle cinque voci — quattro a sede prevalentemente ordinaria, una di elaborazione, nessuna a desecretazione necessaria — e coerente con l'esito del computo e non lo altererebbe nella direzione, ma ribadisce che il ricalcolo formale e rinviato.</w:t>
      </w:r>
    </w:p>
    <w:p>
      <w:pPr>
        <w:spacing w:line="276" w:lineRule="auto" w:after="240" w:before="0"/>
        <w:ind w:firstLine="425"/>
        <w:jc w:val="both"/>
      </w:pPr>
      <w:r>
        <w:rPr>
          <w:rFonts w:ascii="Times New Roman" w:hAnsi="Times New Roman" w:cs="Times New Roman" w:eastAsia="Times New Roman"/>
          <w:b w:val="0"/>
          <w:i/>
          <w:sz w:val="22"/>
        </w:rPr>
        <w:t>Sintesi del dato nuovo acquisito: si versano nel censimento le voci L39-L43 con classificazione sommaria, si dichiara che il computo non si ricalcola per aggiunte successive, e si annota la coerenza direzionale della distribuzione sommaria con l'esito gia ottenuto.</w:t>
      </w:r>
    </w:p>
    <w:p>
      <w:pPr>
        <w:spacing w:line="276" w:lineRule="auto" w:after="160" w:before="240"/>
        <w:jc w:val="left"/>
      </w:pPr>
      <w:r>
        <w:rPr>
          <w:rFonts w:ascii="Times New Roman" w:hAnsi="Times New Roman" w:cs="Times New Roman" w:eastAsia="Times New Roman"/>
          <w:b/>
          <w:i w:val="0"/>
          <w:sz w:val="26"/>
        </w:rPr>
        <w:t>Blocco X — Chiusura formale di L38</w:t>
      </w:r>
    </w:p>
    <w:p>
      <w:pPr>
        <w:spacing w:line="276" w:lineRule="auto" w:after="120" w:before="0"/>
        <w:ind w:firstLine="425"/>
        <w:jc w:val="both"/>
      </w:pPr>
      <w:r>
        <w:rPr>
          <w:rFonts w:ascii="Times New Roman" w:hAnsi="Times New Roman" w:cs="Times New Roman" w:eastAsia="Times New Roman"/>
          <w:b w:val="0"/>
          <w:i w:val="0"/>
          <w:sz w:val="24"/>
        </w:rPr>
        <w:t>Il registro dichiara chiusa la voce L38 in entrambe le componenti. La prima e chiusa mediante reperimento dell'atto di rinominazione, riqualificazione della doppia grafia in stratificazione documentata, sistemazione secondo la disciplina della forma canonica e prescrizione permanente delle chiavi solidali. La seconda e chiusa mediante ricomposizione della linea, fissazione della tavola di concordanza e generalizzazione della regola della doppia coordinata.</w:t>
      </w:r>
    </w:p>
    <w:p>
      <w:pPr>
        <w:spacing w:line="276" w:lineRule="auto" w:after="120" w:before="0"/>
        <w:ind w:firstLine="425"/>
        <w:jc w:val="both"/>
      </w:pPr>
      <w:r>
        <w:rPr>
          <w:rFonts w:ascii="Times New Roman" w:hAnsi="Times New Roman" w:cs="Times New Roman" w:eastAsia="Times New Roman"/>
          <w:b w:val="0"/>
          <w:i w:val="0"/>
          <w:sz w:val="24"/>
        </w:rPr>
        <w:t>Quanto al grado, il registro precisa la natura dell'accertamento: entrambe le chiusure poggiano su documentazione interna dell'opera, la cui esistenza e il cui tenore sono verificabili da chiunque acceda al corpus, e non su fonti esterne da triangolare. La gradazione probatoria dell'opera si applica alle proposizioni sul mondo, non agli atti d'autore che la costituiscono; la chiusura e percio certificata come accertamento documentale interno, senza attribuzione di grado, secondo la distinzione fra i due ordini che l'opera mantiene.</w:t>
      </w:r>
    </w:p>
    <w:p>
      <w:pPr>
        <w:spacing w:line="276" w:lineRule="auto" w:after="120" w:before="0"/>
        <w:ind w:firstLine="425"/>
        <w:jc w:val="both"/>
      </w:pPr>
      <w:r>
        <w:rPr>
          <w:rFonts w:ascii="Times New Roman" w:hAnsi="Times New Roman" w:cs="Times New Roman" w:eastAsia="Times New Roman"/>
          <w:b w:val="0"/>
          <w:i w:val="0"/>
          <w:sz w:val="24"/>
        </w:rPr>
        <w:t>La voce e la prima della Tavola Unica a raggiungere lo stato di chiusa, e il registro annota il dato d'ordine: la prima chiusura del programma esecutivo e avvenuta nella prima sessione, sulla voce collocata in testa per priorita di lacuna generatrice, e la priorita si e dimostrata ben assegnata, avendo la chiusura prodotto una prescrizione che migliora tutte le interrogazioni future.</w:t>
      </w:r>
    </w:p>
    <w:p>
      <w:pPr>
        <w:spacing w:line="276" w:lineRule="auto" w:after="240" w:before="0"/>
        <w:ind w:firstLine="425"/>
        <w:jc w:val="both"/>
      </w:pPr>
      <w:r>
        <w:rPr>
          <w:rFonts w:ascii="Times New Roman" w:hAnsi="Times New Roman" w:cs="Times New Roman" w:eastAsia="Times New Roman"/>
          <w:b w:val="0"/>
          <w:i/>
          <w:sz w:val="22"/>
        </w:rPr>
        <w:t>Sintesi del dato nuovo acquisito: L38 e dichiarata chiusa in entrambe le componenti quale accertamento documentale interno senza attribuzione di grado, prima voce della Tavola Unica a raggiungere lo stato di chiusa.</w:t>
      </w:r>
    </w:p>
    <w:p>
      <w:pPr>
        <w:spacing w:line="276" w:lineRule="auto" w:after="160" w:before="240"/>
        <w:jc w:val="left"/>
      </w:pPr>
      <w:r>
        <w:rPr>
          <w:rFonts w:ascii="Times New Roman" w:hAnsi="Times New Roman" w:cs="Times New Roman" w:eastAsia="Times New Roman"/>
          <w:b/>
          <w:i w:val="0"/>
          <w:sz w:val="26"/>
        </w:rPr>
        <w:t>Blocco XI — L36: l'interrogazione del corpus per il filone keniota</w:t>
      </w:r>
    </w:p>
    <w:p>
      <w:pPr>
        <w:spacing w:line="276" w:lineRule="auto" w:after="120" w:before="0"/>
        <w:ind w:firstLine="425"/>
        <w:jc w:val="both"/>
      </w:pPr>
      <w:r>
        <w:rPr>
          <w:rFonts w:ascii="Times New Roman" w:hAnsi="Times New Roman" w:cs="Times New Roman" w:eastAsia="Times New Roman"/>
          <w:b w:val="0"/>
          <w:i w:val="0"/>
          <w:sz w:val="24"/>
        </w:rPr>
        <w:t>La voce L36 richiede l'identificazione della dodicesima ricognizione e del filone keniota a essa collegato. In applicazione della prescrizione di collazione preventiva istituita al blocco quinto, il corpus e stato interrogato per la chiave geografica prima di trattare la voce come aperta.</w:t>
      </w:r>
    </w:p>
    <w:p>
      <w:pPr>
        <w:spacing w:line="276" w:lineRule="auto" w:after="120" w:before="0"/>
        <w:ind w:firstLine="425"/>
        <w:jc w:val="both"/>
      </w:pPr>
      <w:r>
        <w:rPr>
          <w:rFonts w:ascii="Times New Roman" w:hAnsi="Times New Roman" w:cs="Times New Roman" w:eastAsia="Times New Roman"/>
          <w:b w:val="0"/>
          <w:i w:val="0"/>
          <w:sz w:val="24"/>
        </w:rPr>
        <w:t>L'interrogazione restituisce un esito determinato: le occorrenze kenyote del corpus si concentrano nel censimento delle alleanze internazionali di partito contenuto nei registri omnicomprensivi cumulativi, dove figurano due formazioni di quel paese, entrambe con qualifica di membro pieno dell'organizzazione internazionale censita e, in parallelo, dell'organizzazione continentale africana: la formazione storica che governo il paese ininterrottamente dall'indipendenza fino al principio del secolo presente, e la formazione fondata al principio degli anni Novanta dal futuro capo dello Stato, ammessa nel dicembre duemilaventiquattro.</w:t>
      </w:r>
    </w:p>
    <w:p>
      <w:pPr>
        <w:spacing w:line="276" w:lineRule="auto" w:after="120" w:before="0"/>
        <w:ind w:firstLine="425"/>
        <w:jc w:val="both"/>
      </w:pPr>
      <w:r>
        <w:rPr>
          <w:rFonts w:ascii="Times New Roman" w:hAnsi="Times New Roman" w:cs="Times New Roman" w:eastAsia="Times New Roman"/>
          <w:b w:val="0"/>
          <w:i w:val="0"/>
          <w:sz w:val="24"/>
        </w:rPr>
        <w:t>Il filone keniota e dunque localizzato nel corpus: esso appartiene alla ricognizione sulle reti internazionali di partito, e non ad altri filoni dell'opera. La localizzazione riduce lo spazio della pendenza senza chiuderla, poiche resta da stabilire se la ricognizione sulle reti di partito sia quella cui l'identificatore numerico si riferisce.</w:t>
      </w:r>
    </w:p>
    <w:p>
      <w:pPr>
        <w:spacing w:line="276" w:lineRule="auto" w:after="240" w:before="0"/>
        <w:ind w:firstLine="425"/>
        <w:jc w:val="both"/>
      </w:pPr>
      <w:r>
        <w:rPr>
          <w:rFonts w:ascii="Times New Roman" w:hAnsi="Times New Roman" w:cs="Times New Roman" w:eastAsia="Times New Roman"/>
          <w:b w:val="0"/>
          <w:i/>
          <w:sz w:val="22"/>
        </w:rPr>
        <w:t>Sintesi del dato nuovo acquisito: il filone keniota e localizzato nel censimento delle alleanze internazionali di partito dei registri cumulativi, con due formazioni censite, e la pendenza si riduce alla sola corrispondenza fra tale ricognizione e l'identificatore numerico.</w:t>
      </w:r>
    </w:p>
    <w:p>
      <w:pPr>
        <w:spacing w:line="276" w:lineRule="auto" w:after="160" w:before="240"/>
        <w:jc w:val="left"/>
      </w:pPr>
      <w:r>
        <w:rPr>
          <w:rFonts w:ascii="Times New Roman" w:hAnsi="Times New Roman" w:cs="Times New Roman" w:eastAsia="Times New Roman"/>
          <w:b/>
          <w:i w:val="0"/>
          <w:sz w:val="26"/>
        </w:rPr>
        <w:t>Blocco XII — L36: il limite dell'esecuzione delegata e il rinvio</w:t>
      </w:r>
    </w:p>
    <w:p>
      <w:pPr>
        <w:spacing w:line="276" w:lineRule="auto" w:after="120" w:before="0"/>
        <w:ind w:firstLine="425"/>
        <w:jc w:val="both"/>
      </w:pPr>
      <w:r>
        <w:rPr>
          <w:rFonts w:ascii="Times New Roman" w:hAnsi="Times New Roman" w:cs="Times New Roman" w:eastAsia="Times New Roman"/>
          <w:b w:val="0"/>
          <w:i w:val="0"/>
          <w:sz w:val="24"/>
        </w:rPr>
        <w:t xml:space="preserve">La corrispondenza fra la ricognizione localizzata e l'identificatore di dodicesima e formulata dal registro come ipotesi al grado </w:t>
      </w:r>
      <w:r>
        <w:rPr>
          <w:rFonts w:ascii="Times New Roman" w:hAnsi="Times New Roman" w:cs="Times New Roman" w:eastAsia="Times New Roman"/>
          <w:b/>
          <w:i w:val="0"/>
          <w:sz w:val="24"/>
        </w:rPr>
        <w:t>C</w:t>
      </w:r>
      <w:r>
        <w:rPr>
          <w:rFonts w:ascii="Times New Roman" w:hAnsi="Times New Roman" w:cs="Times New Roman" w:eastAsia="Times New Roman"/>
          <w:b w:val="0"/>
          <w:i w:val="0"/>
          <w:sz w:val="24"/>
        </w:rPr>
        <w:t>, e il registro dichiara la ragione per cui non puo elevarla ne chiuderla: gli identificatori ordinali delle ricognizioni sono atti d'autore, e la loro assegnazione non e ricostruibile per inferenza dal contenuto senza rischio di sostituire la decisione dell'autore con una congettura dell'esecutore.</w:t>
      </w:r>
    </w:p>
    <w:p>
      <w:pPr>
        <w:spacing w:line="276" w:lineRule="auto" w:after="120" w:before="0"/>
        <w:ind w:firstLine="425"/>
        <w:jc w:val="both"/>
      </w:pPr>
      <w:r>
        <w:rPr>
          <w:rFonts w:ascii="Times New Roman" w:hAnsi="Times New Roman" w:cs="Times New Roman" w:eastAsia="Times New Roman"/>
          <w:b w:val="0"/>
          <w:i w:val="0"/>
          <w:sz w:val="24"/>
        </w:rPr>
        <w:t>Il rischio non e teorico. Ove il registro assegnasse l'ordinale per inferenza e l'assegnazione risultasse difforme dall'intenzione autoriale, l'errore si propagherebbe a ogni citazione futura della ricognizione, producendo esattamente il tipo di ambiguita di chiave che la chiusura di L38 ha appena disciplinato. La prudenza ha qui fondamento operativo e non cerimoniale.</w:t>
      </w:r>
    </w:p>
    <w:p>
      <w:pPr>
        <w:spacing w:line="276" w:lineRule="auto" w:after="120" w:before="0"/>
        <w:ind w:firstLine="425"/>
        <w:jc w:val="both"/>
      </w:pPr>
      <w:r>
        <w:rPr>
          <w:rFonts w:ascii="Times New Roman" w:hAnsi="Times New Roman" w:cs="Times New Roman" w:eastAsia="Times New Roman"/>
          <w:b w:val="0"/>
          <w:i w:val="0"/>
          <w:sz w:val="24"/>
        </w:rPr>
        <w:t>La voce e percio avanzata e non chiusa: la componente di localizzazione e eseguita, la componente di ratifica e rimessa all'autore con formulazione pronta, richiedendo la ratifica una sola parola di conferma o di rettifica. Il registro annota che questa configurazione — esecuzione delegata fino al punto di ratifica, con formulazione predisposta — e il modo corretto di trattare ogni pendenza il cui oggetto sia un atto d'autore, e la iscrive come regola per le voci omologhe.</w:t>
      </w:r>
    </w:p>
    <w:p>
      <w:pPr>
        <w:spacing w:line="276" w:lineRule="auto" w:after="240" w:before="0"/>
        <w:ind w:firstLine="425"/>
        <w:jc w:val="both"/>
      </w:pPr>
      <w:r>
        <w:rPr>
          <w:rFonts w:ascii="Times New Roman" w:hAnsi="Times New Roman" w:cs="Times New Roman" w:eastAsia="Times New Roman"/>
          <w:b w:val="0"/>
          <w:i/>
          <w:sz w:val="22"/>
        </w:rPr>
        <w:t xml:space="preserve">Sintesi del dato nuovo acquisito: L36 e avanzata a stato di ratifica con ipotesi di corrispondenza al grado </w:t>
      </w:r>
      <w:r>
        <w:rPr>
          <w:rFonts w:ascii="Times New Roman" w:hAnsi="Times New Roman" w:cs="Times New Roman" w:eastAsia="Times New Roman"/>
          <w:b/>
          <w:i/>
          <w:sz w:val="22"/>
        </w:rPr>
        <w:t>C</w:t>
      </w:r>
      <w:r>
        <w:rPr>
          <w:rFonts w:ascii="Times New Roman" w:hAnsi="Times New Roman" w:cs="Times New Roman" w:eastAsia="Times New Roman"/>
          <w:b w:val="0"/>
          <w:i/>
          <w:sz w:val="22"/>
        </w:rPr>
        <w:t>, e si iscrive la regola dell'esecuzione delegata fino al punto di ratifica per ogni pendenza avente per oggetto un atto d'autore.</w:t>
      </w:r>
    </w:p>
    <w:p>
      <w:pPr>
        <w:spacing w:line="276" w:lineRule="auto" w:after="160" w:before="240"/>
        <w:jc w:val="left"/>
      </w:pPr>
      <w:r>
        <w:rPr>
          <w:rFonts w:ascii="Times New Roman" w:hAnsi="Times New Roman" w:cs="Times New Roman" w:eastAsia="Times New Roman"/>
          <w:b/>
          <w:i w:val="0"/>
          <w:sz w:val="26"/>
        </w:rPr>
        <w:t>Blocco XIII — L37: la natura delle tre componenti e l'esito della collazione</w:t>
      </w:r>
    </w:p>
    <w:p>
      <w:pPr>
        <w:spacing w:line="276" w:lineRule="auto" w:after="120" w:before="0"/>
        <w:ind w:firstLine="425"/>
        <w:jc w:val="both"/>
      </w:pPr>
      <w:r>
        <w:rPr>
          <w:rFonts w:ascii="Times New Roman" w:hAnsi="Times New Roman" w:cs="Times New Roman" w:eastAsia="Times New Roman"/>
          <w:b w:val="0"/>
          <w:i w:val="0"/>
          <w:sz w:val="24"/>
        </w:rPr>
        <w:t>La voce L37 raccoglie tre pendenze di identificazione interna: la ricomposizione delle cinque proposizioni e dei quattordici seggi, l'identificatore dell'undicesima ricognizione e l'iscrizione dell'opera maggiore. La collazione preventiva e stata eseguita per tutte e tre.</w:t>
      </w:r>
    </w:p>
    <w:p>
      <w:pPr>
        <w:spacing w:line="276" w:lineRule="auto" w:after="120" w:before="0"/>
        <w:ind w:firstLine="425"/>
        <w:jc w:val="both"/>
      </w:pPr>
      <w:r>
        <w:rPr>
          <w:rFonts w:ascii="Times New Roman" w:hAnsi="Times New Roman" w:cs="Times New Roman" w:eastAsia="Times New Roman"/>
          <w:b w:val="0"/>
          <w:i w:val="0"/>
          <w:sz w:val="24"/>
        </w:rPr>
        <w:t>Per la prima componente la collazione restituisce un candidato parziale: il repertorio delle fonti registra, nel foglio di verifica, la misurazione delle proposte della commissione parlamentare del millenovecentottantaquattro contro le loro attuazioni normative successive, con la quarta proposta dichiarata attuata dalla legge del duemilasette sul controllo parlamentare dei servizi. La serie delle proposte di quella commissione e un candidato naturale per le cinque proposizioni, e la sua misurazione contro le attuazioni e materia gia lavorata nel repertorio. Per i quattordici seggi la collazione non restituisce invece alcuna occorrenza determinata: le composizioni numeriche reperite nel repertorio — dieci componenti dell'organo di controllo, con proposta di elevazione a dodici — non corrispondono al numero cercato.</w:t>
      </w:r>
    </w:p>
    <w:p>
      <w:pPr>
        <w:spacing w:line="276" w:lineRule="auto" w:after="120" w:before="0"/>
        <w:ind w:firstLine="425"/>
        <w:jc w:val="both"/>
      </w:pPr>
      <w:r>
        <w:rPr>
          <w:rFonts w:ascii="Times New Roman" w:hAnsi="Times New Roman" w:cs="Times New Roman" w:eastAsia="Times New Roman"/>
          <w:b w:val="0"/>
          <w:i w:val="0"/>
          <w:sz w:val="24"/>
        </w:rPr>
        <w:t>Il registro dichiara percio il mancato reperimento della seconda meta della prima componente, secondo la regola che impone di registrare l'esito negativo di un'interrogazione con la stessa evidenza dell'esito positivo.</w:t>
      </w:r>
    </w:p>
    <w:p>
      <w:pPr>
        <w:spacing w:line="276" w:lineRule="auto" w:after="240" w:before="0"/>
        <w:ind w:firstLine="425"/>
        <w:jc w:val="both"/>
      </w:pPr>
      <w:r>
        <w:rPr>
          <w:rFonts w:ascii="Times New Roman" w:hAnsi="Times New Roman" w:cs="Times New Roman" w:eastAsia="Times New Roman"/>
          <w:b w:val="0"/>
          <w:i/>
          <w:sz w:val="22"/>
        </w:rPr>
        <w:t>Sintesi del dato nuovo acquisito: la collazione di L37 produce un candidato parziale per le cinque proposizioni nella serie delle proposte della commissione del millenovecentottantaquattro e un mancato reperimento dichiarato per i quattordici seggi.</w:t>
      </w:r>
    </w:p>
    <w:p>
      <w:pPr>
        <w:spacing w:line="276" w:lineRule="auto" w:after="160" w:before="240"/>
        <w:jc w:val="left"/>
      </w:pPr>
      <w:r>
        <w:rPr>
          <w:rFonts w:ascii="Times New Roman" w:hAnsi="Times New Roman" w:cs="Times New Roman" w:eastAsia="Times New Roman"/>
          <w:b/>
          <w:i w:val="0"/>
          <w:sz w:val="26"/>
        </w:rPr>
        <w:t>Blocco XIV — L37: le componenti autoriali e le formulazioni predisposte</w:t>
      </w:r>
    </w:p>
    <w:p>
      <w:pPr>
        <w:spacing w:line="276" w:lineRule="auto" w:after="120" w:before="0"/>
        <w:ind w:firstLine="425"/>
        <w:jc w:val="both"/>
      </w:pPr>
      <w:r>
        <w:rPr>
          <w:rFonts w:ascii="Times New Roman" w:hAnsi="Times New Roman" w:cs="Times New Roman" w:eastAsia="Times New Roman"/>
          <w:b w:val="0"/>
          <w:i w:val="0"/>
          <w:sz w:val="24"/>
        </w:rPr>
        <w:t>Le restanti componenti di L37 — l'identificatore dell'undicesima ricognizione e l'iscrizione dell'opera maggiore — condividono con L36 la natura di atti d'autore, e ricevono il medesimo trattamento: esecuzione delegata fino al punto di ratifica, con formulazioni predisposte.</w:t>
      </w:r>
    </w:p>
    <w:p>
      <w:pPr>
        <w:spacing w:line="276" w:lineRule="auto" w:after="120" w:before="0"/>
        <w:ind w:firstLine="425"/>
        <w:jc w:val="both"/>
      </w:pPr>
      <w:r>
        <w:rPr>
          <w:rFonts w:ascii="Times New Roman" w:hAnsi="Times New Roman" w:cs="Times New Roman" w:eastAsia="Times New Roman"/>
          <w:b w:val="0"/>
          <w:i w:val="0"/>
          <w:sz w:val="24"/>
        </w:rPr>
        <w:t>Per l'undicesima ricognizione il registro predispone il quadro di ratifica: l'ordinale va assegnato a una ricognizione determinata del corpus, e l'assegnazione dell'undicesima vincola logicamente quella della dodicesima trattata in L36, poiche i due ordinali sono consecutivi e la ratifica dell'uno restringe lo spazio dell'altro. Il registro raccomanda percio la ratifica congiunta delle due voci in un unico atto, che chiuderebbe simultaneamente L36 e la seconda componente di L37 con garanzia di coerenza della serie.</w:t>
      </w:r>
    </w:p>
    <w:p>
      <w:pPr>
        <w:spacing w:line="276" w:lineRule="auto" w:after="120" w:before="0"/>
        <w:ind w:firstLine="425"/>
        <w:jc w:val="both"/>
      </w:pPr>
      <w:r>
        <w:rPr>
          <w:rFonts w:ascii="Times New Roman" w:hAnsi="Times New Roman" w:cs="Times New Roman" w:eastAsia="Times New Roman"/>
          <w:b w:val="0"/>
          <w:i w:val="0"/>
          <w:sz w:val="24"/>
        </w:rPr>
        <w:t>Per l'iscrizione dell'opera maggiore il registro predispone l'alternativa: l'iscrizione puo assumere la forma della dedica ovvero quella dell'epigrafe metodologica, e le due forme hanno statuto diverso, essendo la prima estranea all'apparato probatorio e la seconda parte di esso. Il registro non esprime preferenza, trattandosi di atto d'autore puro, e si limita a segnalare che la scelta della seconda forma comporterebbe l'applicazione all'iscrizione delle regole di gradazione, mentre la prima ne resterebbe esente.</w:t>
      </w:r>
    </w:p>
    <w:p>
      <w:pPr>
        <w:spacing w:line="276" w:lineRule="auto" w:after="240" w:before="0"/>
        <w:ind w:firstLine="425"/>
        <w:jc w:val="both"/>
      </w:pPr>
      <w:r>
        <w:rPr>
          <w:rFonts w:ascii="Times New Roman" w:hAnsi="Times New Roman" w:cs="Times New Roman" w:eastAsia="Times New Roman"/>
          <w:b w:val="0"/>
          <w:i/>
          <w:sz w:val="22"/>
        </w:rPr>
        <w:t>Sintesi del dato nuovo acquisito: le componenti autoriali di L37 sono portate al punto di ratifica con formulazioni predisposte, raccomandazione di ratifica congiunta degli ordinali consecutivi e alternativa dichiarata fra dedica ed epigrafe per l'iscrizione dell'opera maggiore.</w:t>
      </w:r>
    </w:p>
    <w:p>
      <w:pPr>
        <w:spacing w:line="276" w:lineRule="auto" w:after="160" w:before="240"/>
        <w:jc w:val="left"/>
      </w:pPr>
      <w:r>
        <w:rPr>
          <w:rFonts w:ascii="Times New Roman" w:hAnsi="Times New Roman" w:cs="Times New Roman" w:eastAsia="Times New Roman"/>
          <w:b/>
          <w:i w:val="0"/>
          <w:sz w:val="26"/>
        </w:rPr>
        <w:t>Blocco XV — L02: la formalizzazione del calcolo e la partizione dei parametri</w:t>
      </w:r>
    </w:p>
    <w:p>
      <w:pPr>
        <w:spacing w:line="276" w:lineRule="auto" w:after="120" w:before="0"/>
        <w:ind w:firstLine="425"/>
        <w:jc w:val="both"/>
      </w:pPr>
      <w:r>
        <w:rPr>
          <w:rFonts w:ascii="Times New Roman" w:hAnsi="Times New Roman" w:cs="Times New Roman" w:eastAsia="Times New Roman"/>
          <w:b w:val="0"/>
          <w:i w:val="0"/>
          <w:sz w:val="24"/>
        </w:rPr>
        <w:t>La voce L02 richiede il calcolo probabilistico sulla specificita dell'indicazione toponomastica del due aprile millenovecentosettantotto. La sessione ne esegue la componente interna, che consiste nella formalizzazione del calcolo, e dichiara la componente esterna, che consiste nell'acquisizione di un parametro.</w:t>
      </w:r>
    </w:p>
    <w:p>
      <w:pPr>
        <w:spacing w:line="276" w:lineRule="auto" w:after="120" w:before="0"/>
        <w:ind w:firstLine="425"/>
        <w:jc w:val="both"/>
      </w:pPr>
      <w:r>
        <w:rPr>
          <w:rFonts w:ascii="Times New Roman" w:hAnsi="Times New Roman" w:cs="Times New Roman" w:eastAsia="Times New Roman"/>
          <w:b w:val="0"/>
          <w:i w:val="0"/>
          <w:sz w:val="24"/>
        </w:rPr>
        <w:t>La formalizzazione e la seguente. L'evento da valutare e la produzione per caso di una terna composta da denominazione viaria, arteria di riferimento e numero civico, coincidente con una terna reale. Sotto l'ipotesi di estrazione casuale uniforme, la probabilita della coincidenza e il prodotto di tre fattori: l'inverso del numero delle denominazioni viarie della citta alla data, la probabilita condizionata che l'arteria di riferimento indicata sia quella corretta per la via estratta, e l'inverso del numero dei civici della via. Il primo fattore domina il prodotto ed e l'unico parametro esterno mancante: la consistenza dello stradario cittadino alla data, reperibile in fonte pubblica ordinaria.</w:t>
      </w:r>
    </w:p>
    <w:p>
      <w:pPr>
        <w:spacing w:line="276" w:lineRule="auto" w:after="120" w:before="0"/>
        <w:ind w:firstLine="425"/>
        <w:jc w:val="both"/>
      </w:pPr>
      <w:r>
        <w:rPr>
          <w:rFonts w:ascii="Times New Roman" w:hAnsi="Times New Roman" w:cs="Times New Roman" w:eastAsia="Times New Roman"/>
          <w:b w:val="0"/>
          <w:i w:val="0"/>
          <w:sz w:val="24"/>
        </w:rPr>
        <w:t>Il registro dichiara inoltre, prima dell'acquisizione del parametro, la soglia interpretativa: il calcolo misura la sola improbabilita della coincidenza casuale e non discrimina fra le spiegazioni non casuali, sicche il suo esito, quale che sia, potra elevare l'esclusione del caso e non potra elevare alcuna ipotesi positiva sulla provenienza. La dichiarazione preventiva vincola l'uso futuro del risultato.</w:t>
      </w:r>
    </w:p>
    <w:p>
      <w:pPr>
        <w:spacing w:line="276" w:lineRule="auto" w:after="240" w:before="0"/>
        <w:ind w:firstLine="425"/>
        <w:jc w:val="both"/>
      </w:pPr>
      <w:r>
        <w:rPr>
          <w:rFonts w:ascii="Times New Roman" w:hAnsi="Times New Roman" w:cs="Times New Roman" w:eastAsia="Times New Roman"/>
          <w:b w:val="0"/>
          <w:i/>
          <w:sz w:val="22"/>
        </w:rPr>
        <w:t>Sintesi del dato nuovo acquisito: L02 e formalizzata nella struttura a tre fattori con individuazione del parametro esterno dominante, e si dichiara preventivamente che l'esito potra elevare la sola esclusione del caso e nessuna ipotesi positiva di provenienza.</w:t>
      </w:r>
    </w:p>
    <w:p>
      <w:pPr>
        <w:spacing w:line="276" w:lineRule="auto" w:after="160" w:before="240"/>
        <w:jc w:val="left"/>
      </w:pPr>
      <w:r>
        <w:rPr>
          <w:rFonts w:ascii="Times New Roman" w:hAnsi="Times New Roman" w:cs="Times New Roman" w:eastAsia="Times New Roman"/>
          <w:b/>
          <w:i w:val="0"/>
          <w:sz w:val="26"/>
        </w:rPr>
        <w:t>Blocco XVI — Le voci esterne di testa: L34, L26, L25 e la condizione di esecuzione</w:t>
      </w:r>
    </w:p>
    <w:p>
      <w:pPr>
        <w:spacing w:line="276" w:lineRule="auto" w:after="120" w:before="0"/>
        <w:ind w:firstLine="425"/>
        <w:jc w:val="both"/>
      </w:pPr>
      <w:r>
        <w:rPr>
          <w:rFonts w:ascii="Times New Roman" w:hAnsi="Times New Roman" w:cs="Times New Roman" w:eastAsia="Times New Roman"/>
          <w:b w:val="0"/>
          <w:i w:val="0"/>
          <w:sz w:val="24"/>
        </w:rPr>
        <w:t>Le tre voci di testa non eseguibili in questa sede ricevono la dichiarazione della rispettiva condizione di esecuzione, senza sollecitazione.</w:t>
      </w:r>
    </w:p>
    <w:p>
      <w:pPr>
        <w:spacing w:line="276" w:lineRule="auto" w:after="120" w:before="0"/>
        <w:ind w:firstLine="425"/>
        <w:jc w:val="both"/>
      </w:pPr>
      <w:r>
        <w:rPr>
          <w:rFonts w:ascii="Times New Roman" w:hAnsi="Times New Roman" w:cs="Times New Roman" w:eastAsia="Times New Roman"/>
          <w:b w:val="0"/>
          <w:i w:val="0"/>
          <w:sz w:val="24"/>
        </w:rPr>
        <w:t>L34, regime di registrazione dei transiti vigente all'epoca: la voce e a sede normativa pubblica e la sua esecuzione richiede il reperimento delle fonti normative, che da questa sede e possibile soltanto mediante interrogazione in rete, soggetta ad autorizzazione espressa dell'autore con esiti riversabili nei soli documenti. La medesima condizione vale per L19 e per L35, entrambe a sede pubblica reperibile in rete. Il registro annota che le tre voci sono eseguibili in un'unica sessione autorizzata, e che la loro esecuzione congiunta scioglierebbe anche il condizionamento che L34 esercita sul grado di due proposizioni della Camera Istruttoria.</w:t>
      </w:r>
    </w:p>
    <w:p>
      <w:pPr>
        <w:spacing w:line="276" w:lineRule="auto" w:after="120" w:before="0"/>
        <w:ind w:firstLine="425"/>
        <w:jc w:val="both"/>
      </w:pPr>
      <w:r>
        <w:rPr>
          <w:rFonts w:ascii="Times New Roman" w:hAnsi="Times New Roman" w:cs="Times New Roman" w:eastAsia="Times New Roman"/>
          <w:b w:val="0"/>
          <w:i w:val="0"/>
          <w:sz w:val="24"/>
        </w:rPr>
        <w:t>L26, interrogazione inversa delle serie societarie, e L25, serie della conservatoria: le voci richiedono interrogazione di serie pubbliche nazionali non raggiungibili da questa sede, e restano assegnate con priorita invariata. Il registro precisa che per esse la condizione non e un'autorizzazione ma un accesso, e che la loro permanenza in testa alla Tavola e confermata.</w:t>
      </w:r>
    </w:p>
    <w:p>
      <w:pPr>
        <w:spacing w:line="276" w:lineRule="auto" w:after="240" w:before="0"/>
        <w:ind w:firstLine="425"/>
        <w:jc w:val="both"/>
      </w:pPr>
      <w:r>
        <w:rPr>
          <w:rFonts w:ascii="Times New Roman" w:hAnsi="Times New Roman" w:cs="Times New Roman" w:eastAsia="Times New Roman"/>
          <w:b w:val="0"/>
          <w:i/>
          <w:sz w:val="22"/>
        </w:rPr>
        <w:t>Sintesi del dato nuovo acquisito: si dichiara la condizione di esecuzione delle voci esterne di testa, con annotazione della eseguibilita congiunta di L34, L19 e L35 in un'unica sessione autorizzata e conferma della priorita di L26 e L25.</w:t>
      </w:r>
    </w:p>
    <w:p>
      <w:pPr>
        <w:spacing w:line="276" w:lineRule="auto" w:after="160" w:before="240"/>
        <w:jc w:val="left"/>
      </w:pPr>
      <w:r>
        <w:rPr>
          <w:rFonts w:ascii="Times New Roman" w:hAnsi="Times New Roman" w:cs="Times New Roman" w:eastAsia="Times New Roman"/>
          <w:b/>
          <w:i w:val="0"/>
          <w:sz w:val="26"/>
        </w:rPr>
        <w:t>Blocco XVII — La programmazione della seconda sessione interna: L03 e L23</w:t>
      </w:r>
    </w:p>
    <w:p>
      <w:pPr>
        <w:spacing w:line="276" w:lineRule="auto" w:after="120" w:before="0"/>
        <w:ind w:firstLine="425"/>
        <w:jc w:val="both"/>
      </w:pPr>
      <w:r>
        <w:rPr>
          <w:rFonts w:ascii="Times New Roman" w:hAnsi="Times New Roman" w:cs="Times New Roman" w:eastAsia="Times New Roman"/>
          <w:b w:val="0"/>
          <w:i w:val="0"/>
          <w:sz w:val="24"/>
        </w:rPr>
        <w:t>Le due voci di elaborazione residue a rimediabilita massima sono programmate quale seconda sessione interna, con i vincoli gia iscritti che il verbale ripete perche vincolano l'esecuzione e non la sola dichiarazione.</w:t>
      </w:r>
    </w:p>
    <w:p>
      <w:pPr>
        <w:spacing w:line="276" w:lineRule="auto" w:after="120" w:before="0"/>
        <w:ind w:firstLine="425"/>
        <w:jc w:val="both"/>
      </w:pPr>
      <w:r>
        <w:rPr>
          <w:rFonts w:ascii="Times New Roman" w:hAnsi="Times New Roman" w:cs="Times New Roman" w:eastAsia="Times New Roman"/>
          <w:b w:val="0"/>
          <w:i w:val="0"/>
          <w:sz w:val="24"/>
        </w:rPr>
        <w:t>L03, censimento comparativo delle durate dei santuari: l'esecuzione richiede la costituzione preliminare della lista dei casi dal corpus della sezione sulla diaspora, con fissazione per ciascuno del termine iniziale e del termine finale della protezione effettiva, e la misurazione va condotta con metodo di analisi della sopravvivenza in ragione della censura statistica introdotta dai casi terminati per morte del protetto.</w:t>
      </w:r>
    </w:p>
    <w:p>
      <w:pPr>
        <w:spacing w:line="276" w:lineRule="auto" w:after="120" w:before="0"/>
        <w:ind w:firstLine="425"/>
        <w:jc w:val="both"/>
      </w:pPr>
      <w:r>
        <w:rPr>
          <w:rFonts w:ascii="Times New Roman" w:hAnsi="Times New Roman" w:cs="Times New Roman" w:eastAsia="Times New Roman"/>
          <w:b w:val="0"/>
          <w:i w:val="0"/>
          <w:sz w:val="24"/>
        </w:rPr>
        <w:t>L23, analisi temporale della finestra critica: l'esecuzione e ammessa in forma soltanto esplorativa, essendo la finestra stata individuata mediante osservazione della densita, e l'eventuale risultato dovra essere verificato su corpus indipendente prima di qualsiasi uso confermativo.</w:t>
      </w:r>
    </w:p>
    <w:p>
      <w:pPr>
        <w:spacing w:line="276" w:lineRule="auto" w:after="120" w:before="0"/>
        <w:ind w:firstLine="425"/>
        <w:jc w:val="both"/>
      </w:pPr>
      <w:r>
        <w:rPr>
          <w:rFonts w:ascii="Times New Roman" w:hAnsi="Times New Roman" w:cs="Times New Roman" w:eastAsia="Times New Roman"/>
          <w:b w:val="0"/>
          <w:i w:val="0"/>
          <w:sz w:val="24"/>
        </w:rPr>
        <w:t>Il registro dispone l'ordine interno della seconda sessione: prima L03, che produce una lista riutilizzabile, poi L23, che opera su cronologie gia fissate; e dispone che la sessione applichi alle due voci la collazione preventiva contro il corpus, in adempimento della prescrizione retroattiva del blocco quinto.</w:t>
      </w:r>
    </w:p>
    <w:p>
      <w:pPr>
        <w:spacing w:line="276" w:lineRule="auto" w:after="240" w:before="0"/>
        <w:ind w:firstLine="425"/>
        <w:jc w:val="both"/>
      </w:pPr>
      <w:r>
        <w:rPr>
          <w:rFonts w:ascii="Times New Roman" w:hAnsi="Times New Roman" w:cs="Times New Roman" w:eastAsia="Times New Roman"/>
          <w:b w:val="0"/>
          <w:i/>
          <w:sz w:val="22"/>
        </w:rPr>
        <w:t>Sintesi del dato nuovo acquisito: si programma la seconda sessione interna su L03 e L23 con ordine dichiarato, vincoli ripetuti in sede esecutiva e obbligo di collazione preventiva in adempimento della prescrizione retroattiva.</w:t>
      </w:r>
    </w:p>
    <w:p>
      <w:pPr>
        <w:spacing w:line="276" w:lineRule="auto" w:after="160" w:before="240"/>
        <w:jc w:val="left"/>
      </w:pPr>
      <w:r>
        <w:rPr>
          <w:rFonts w:ascii="Times New Roman" w:hAnsi="Times New Roman" w:cs="Times New Roman" w:eastAsia="Times New Roman"/>
          <w:b/>
          <w:i w:val="0"/>
          <w:sz w:val="26"/>
        </w:rPr>
        <w:t>Blocco XVIII — Aggiornamento della Tavola Unica</w:t>
      </w:r>
    </w:p>
    <w:p>
      <w:pPr>
        <w:spacing w:line="276" w:lineRule="auto" w:after="120" w:before="0"/>
        <w:ind w:firstLine="425"/>
        <w:jc w:val="both"/>
      </w:pPr>
      <w:r>
        <w:rPr>
          <w:rFonts w:ascii="Times New Roman" w:hAnsi="Times New Roman" w:cs="Times New Roman" w:eastAsia="Times New Roman"/>
          <w:b w:val="0"/>
          <w:i w:val="0"/>
          <w:sz w:val="24"/>
        </w:rPr>
        <w:t>Il registro aggiorna la Tavola Unica in esito alla sessione.</w:t>
      </w:r>
    </w:p>
    <w:p>
      <w:pPr>
        <w:spacing w:line="276" w:lineRule="auto" w:after="120" w:before="0"/>
        <w:ind w:firstLine="425"/>
        <w:jc w:val="both"/>
      </w:pPr>
      <w:r>
        <w:rPr>
          <w:rFonts w:ascii="Times New Roman" w:hAnsi="Times New Roman" w:cs="Times New Roman" w:eastAsia="Times New Roman"/>
          <w:b w:val="0"/>
          <w:i w:val="0"/>
          <w:sz w:val="24"/>
        </w:rPr>
        <w:t>In stato di chiusa: L38, prima voce del programma a raggiungere tale stato. In stato di ratifica, con formulazioni predisposte: L36 e le componenti autoriali di L37, con raccomandazione di ratifica congiunta degli ordinali consecutivi. In stato di avanzata: la prima componente di L37, con candidato parziale per le cinque proposizioni e mancato reperimento dichiarato per i quattordici seggi; e L02, formalizzata con parametro esterno individuato.</w:t>
      </w:r>
    </w:p>
    <w:p>
      <w:pPr>
        <w:spacing w:line="276" w:lineRule="auto" w:after="120" w:before="0"/>
        <w:ind w:firstLine="425"/>
        <w:jc w:val="both"/>
      </w:pPr>
      <w:r>
        <w:rPr>
          <w:rFonts w:ascii="Times New Roman" w:hAnsi="Times New Roman" w:cs="Times New Roman" w:eastAsia="Times New Roman"/>
          <w:b w:val="0"/>
          <w:i w:val="0"/>
          <w:sz w:val="24"/>
        </w:rPr>
        <w:t>In stato di assegnata con condizione dichiarata: L34, L19 e L35, eseguibili in unica sessione autorizzata di interrogazione in rete; L26 e L25, a condizione di accesso. In stato di programmata: L03 e L23, seconda sessione interna. Le voci da L39 a L43, versate con classificazione sommaria, sono in stato di censita da consolidare.</w:t>
      </w:r>
    </w:p>
    <w:p>
      <w:pPr>
        <w:spacing w:line="276" w:lineRule="auto" w:after="120" w:before="0"/>
        <w:ind w:firstLine="425"/>
        <w:jc w:val="both"/>
      </w:pPr>
      <w:r>
        <w:rPr>
          <w:rFonts w:ascii="Times New Roman" w:hAnsi="Times New Roman" w:cs="Times New Roman" w:eastAsia="Times New Roman"/>
          <w:b w:val="0"/>
          <w:i w:val="0"/>
          <w:sz w:val="24"/>
        </w:rPr>
        <w:t>Il registro annota che la Tavola acquisisce con questa sessione la colonna degli stati — chiusa, in ratifica, avanzata, assegnata, programmata, censita da consolidare — che il censimento non prevedeva, e che tale colonna trasforma la Tavola da inventario statico in strumento di conduzione, misurando a ogni sessione lo scorrimento delle voci fra gli stati.</w:t>
      </w:r>
    </w:p>
    <w:p>
      <w:pPr>
        <w:spacing w:line="276" w:lineRule="auto" w:after="240" w:before="0"/>
        <w:ind w:firstLine="425"/>
        <w:jc w:val="both"/>
      </w:pPr>
      <w:r>
        <w:rPr>
          <w:rFonts w:ascii="Times New Roman" w:hAnsi="Times New Roman" w:cs="Times New Roman" w:eastAsia="Times New Roman"/>
          <w:b w:val="0"/>
          <w:i/>
          <w:sz w:val="22"/>
        </w:rPr>
        <w:t>Sintesi del dato nuovo acquisito: la Tavola Unica e aggiornata con l'istituzione della colonna degli stati a sei valori, che la trasforma da inventario statico in strumento di conduzione a scorrimento misurabile.</w:t>
      </w:r>
    </w:p>
    <w:p>
      <w:pPr>
        <w:spacing w:line="276" w:lineRule="auto" w:after="160" w:before="240"/>
        <w:jc w:val="left"/>
      </w:pPr>
      <w:r>
        <w:rPr>
          <w:rFonts w:ascii="Times New Roman" w:hAnsi="Times New Roman" w:cs="Times New Roman" w:eastAsia="Times New Roman"/>
          <w:b/>
          <w:i w:val="0"/>
          <w:sz w:val="26"/>
        </w:rPr>
        <w:t>Blocco XIX — Acquisizioni di metodo della sessione</w:t>
      </w:r>
    </w:p>
    <w:p>
      <w:pPr>
        <w:spacing w:line="276" w:lineRule="auto" w:after="120" w:before="0"/>
        <w:ind w:firstLine="425"/>
        <w:jc w:val="both"/>
      </w:pPr>
      <w:r>
        <w:rPr>
          <w:rFonts w:ascii="Times New Roman" w:hAnsi="Times New Roman" w:cs="Times New Roman" w:eastAsia="Times New Roman"/>
          <w:b w:val="0"/>
          <w:i w:val="0"/>
          <w:sz w:val="24"/>
        </w:rPr>
        <w:t>La sessione consegna quattro acquisizioni di metodo, che il registro ordina.</w:t>
      </w:r>
    </w:p>
    <w:p>
      <w:pPr>
        <w:spacing w:line="276" w:lineRule="auto" w:after="120" w:before="0"/>
        <w:ind w:firstLine="425"/>
        <w:jc w:val="both"/>
      </w:pPr>
      <w:r>
        <w:rPr>
          <w:rFonts w:ascii="Times New Roman" w:hAnsi="Times New Roman" w:cs="Times New Roman" w:eastAsia="Times New Roman"/>
          <w:b w:val="0"/>
          <w:i w:val="0"/>
          <w:sz w:val="24"/>
        </w:rPr>
        <w:t>La prima e la categoria delle pseudo-lacune con la prescrizione della collazione preventiva, istituite al blocco quinto: in un'opera a cumulativita preservativa, l'inventario delle pendenze diverge dal corpus se non e collazionato, e la collazione e atto dovuto anteriore a ogni censimento.</w:t>
      </w:r>
    </w:p>
    <w:p>
      <w:pPr>
        <w:spacing w:line="276" w:lineRule="auto" w:after="120" w:before="0"/>
        <w:ind w:firstLine="425"/>
        <w:jc w:val="both"/>
      </w:pPr>
      <w:r>
        <w:rPr>
          <w:rFonts w:ascii="Times New Roman" w:hAnsi="Times New Roman" w:cs="Times New Roman" w:eastAsia="Times New Roman"/>
          <w:b w:val="0"/>
          <w:i w:val="0"/>
          <w:sz w:val="24"/>
        </w:rPr>
        <w:t>La seconda e la regola dell'esecuzione delegata fino al punto di ratifica per le pendenze aventi per oggetto atti d'autore: l'esecutore localizza, predispone e formula, e non assegna; l'assegnazione per inferenza di un atto d'autore e errore di metodo anche quando l'inferenza e corretta, perche sostituisce la sede della decisione.</w:t>
      </w:r>
    </w:p>
    <w:p>
      <w:pPr>
        <w:spacing w:line="276" w:lineRule="auto" w:after="120" w:before="0"/>
        <w:ind w:firstLine="425"/>
        <w:jc w:val="both"/>
      </w:pPr>
      <w:r>
        <w:rPr>
          <w:rFonts w:ascii="Times New Roman" w:hAnsi="Times New Roman" w:cs="Times New Roman" w:eastAsia="Times New Roman"/>
          <w:b w:val="0"/>
          <w:i w:val="0"/>
          <w:sz w:val="24"/>
        </w:rPr>
        <w:t>La terza e la regola della doppia coordinata di citazione, per segnatura e per edizione, generalizzata all'intero apparato: due serie numeriche che misurano grandezze diverse non sono una discordanza da sanare ma una struttura da dichiarare.</w:t>
      </w:r>
    </w:p>
    <w:p>
      <w:pPr>
        <w:spacing w:line="276" w:lineRule="auto" w:after="120" w:before="0"/>
        <w:ind w:firstLine="425"/>
        <w:jc w:val="both"/>
      </w:pPr>
      <w:r>
        <w:rPr>
          <w:rFonts w:ascii="Times New Roman" w:hAnsi="Times New Roman" w:cs="Times New Roman" w:eastAsia="Times New Roman"/>
          <w:b w:val="0"/>
          <w:i w:val="0"/>
          <w:sz w:val="24"/>
        </w:rPr>
        <w:t>La quarta e la prescrizione delle chiavi solidali con l'attribuzione alla tabella degli alias della funzione di repertorio delle chiavi: ogni interrogazione per chiave singola su entita dotata di alias storici e incompleta per costruzione, e la completezza delle interrogazioni e condizione di validita delle affermazioni negative che ne derivano.</w:t>
      </w:r>
    </w:p>
    <w:p>
      <w:pPr>
        <w:spacing w:line="276" w:lineRule="auto" w:after="240" w:before="0"/>
        <w:ind w:firstLine="425"/>
        <w:jc w:val="both"/>
      </w:pPr>
      <w:r>
        <w:rPr>
          <w:rFonts w:ascii="Times New Roman" w:hAnsi="Times New Roman" w:cs="Times New Roman" w:eastAsia="Times New Roman"/>
          <w:b w:val="0"/>
          <w:i/>
          <w:sz w:val="22"/>
        </w:rPr>
        <w:t>Sintesi del dato nuovo acquisito: si ordinano le quattro acquisizioni di metodo della sessione: pseudo-lacune con collazione preventiva, esecuzione delegata fino alla ratifica, doppia coordinata di citazione e chiavi solidali quale condizione di validita delle negative.</w:t>
      </w:r>
    </w:p>
    <w:p>
      <w:pPr>
        <w:spacing w:line="276" w:lineRule="auto" w:after="160" w:before="240"/>
        <w:jc w:val="left"/>
      </w:pPr>
      <w:r>
        <w:rPr>
          <w:rFonts w:ascii="Times New Roman" w:hAnsi="Times New Roman" w:cs="Times New Roman" w:eastAsia="Times New Roman"/>
          <w:b/>
          <w:i w:val="0"/>
          <w:sz w:val="26"/>
        </w:rPr>
        <w:t>Blocco XX — Bilancio della sessione e consegna</w:t>
      </w:r>
    </w:p>
    <w:p>
      <w:pPr>
        <w:spacing w:line="276" w:lineRule="auto" w:after="120" w:before="0"/>
        <w:ind w:firstLine="425"/>
        <w:jc w:val="both"/>
      </w:pPr>
      <w:r>
        <w:rPr>
          <w:rFonts w:ascii="Times New Roman" w:hAnsi="Times New Roman" w:cs="Times New Roman" w:eastAsia="Times New Roman"/>
          <w:b w:val="0"/>
          <w:i w:val="0"/>
          <w:sz w:val="24"/>
        </w:rPr>
        <w:t>Il bilancio della prima sessione esecutiva e il seguente: una voce chiusa in entrambe le componenti, tre componenti portate al punto di ratifica con formulazioni predisposte, una voce avanzata con candidato parziale e un mancato reperimento dichiarato, una voce formalizzata con parametro esterno individuato, cinque voci nuove versate nel censimento, cinque voci esterne con condizione di esecuzione dichiarata, due voci programmate in seconda sessione, quattro acquisizioni di metodo e una categoria nuova.</w:t>
      </w:r>
    </w:p>
    <w:p>
      <w:pPr>
        <w:spacing w:line="276" w:lineRule="auto" w:after="120" w:before="0"/>
        <w:ind w:firstLine="425"/>
        <w:jc w:val="both"/>
      </w:pPr>
      <w:r>
        <w:rPr>
          <w:rFonts w:ascii="Times New Roman" w:hAnsi="Times New Roman" w:cs="Times New Roman" w:eastAsia="Times New Roman"/>
          <w:b w:val="0"/>
          <w:i w:val="0"/>
          <w:sz w:val="24"/>
        </w:rPr>
        <w:t>Il registro rileva il dato complessivo che la sessione dimostra: la testa della Tavola Unica era stata ordinata per priorita logica e non per rendimento apparente, e la prima voce eseguita ha restituito, oltre alla propria chiusura, una prescrizione che migliora tutte le interrogazioni future e una categoria che correggera i censimenti futuri. L'ordinamento composito ha superato la sua prima prova.</w:t>
      </w:r>
    </w:p>
    <w:p>
      <w:pPr>
        <w:spacing w:line="276" w:lineRule="auto" w:after="120" w:before="0"/>
        <w:ind w:firstLine="425"/>
        <w:jc w:val="both"/>
      </w:pPr>
      <w:r>
        <w:rPr>
          <w:rFonts w:ascii="Times New Roman" w:hAnsi="Times New Roman" w:cs="Times New Roman" w:eastAsia="Times New Roman"/>
          <w:b w:val="0"/>
          <w:i w:val="0"/>
          <w:sz w:val="24"/>
        </w:rPr>
        <w:t>Restano sovraordinate le condizioni gia iscritte: la ratifica autoriale per L36 e per le componenti di L37, l'autorizzazione per la sessione di interrogazione in rete su L34, L19 e L35, e l'esecuzione della seconda sessione interna su L03 e L23. Nessuna delle tre condizioni dipende da questa sede, e il verbale le consegna nello stato in cui la sessione le lascia.</w:t>
      </w:r>
    </w:p>
    <w:p>
      <w:pPr>
        <w:spacing w:line="276" w:lineRule="auto" w:after="240" w:before="0"/>
        <w:ind w:firstLine="425"/>
        <w:jc w:val="both"/>
      </w:pPr>
      <w:r>
        <w:rPr>
          <w:rFonts w:ascii="Times New Roman" w:hAnsi="Times New Roman" w:cs="Times New Roman" w:eastAsia="Times New Roman"/>
          <w:b w:val="0"/>
          <w:i/>
          <w:sz w:val="22"/>
        </w:rPr>
        <w:t>Sintesi del dato nuovo acquisito: si consegna il bilancio della prima sessione — una chiusura, tre ratifiche predisposte, una voce avanzata, una formalizzata, cinque versate, quattro acquisizioni di metodo — con la prima prova superata dell'ordinamento composito della Tavola Unica.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