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italia-nera-registro-analitico-dei-nodi"/>
    <w:p>
      <w:pPr>
        <w:pStyle w:val="Heading1"/>
      </w:pPr>
      <w:r>
        <w:t xml:space="preserve">ITALIA NERA — REGISTRO ANALITICO DEI NODI</w:t>
      </w:r>
    </w:p>
    <w:bookmarkStart w:id="21" w:name="X1930dccdc8d8f479333278740a79a2077b91851"/>
    <w:p>
      <w:pPr>
        <w:pStyle w:val="Heading2"/>
      </w:pPr>
      <w:r>
        <w:t xml:space="preserve">CORPUS RICERCHE TRANSNAZIONALI DELLA GUERRA FREDDA</w:t>
      </w:r>
    </w:p>
    <w:bookmarkStart w:id="20" w:name="X3eec88fa39a4d2fcae8177ce74905048baef048"/>
    <w:p>
      <w:pPr>
        <w:pStyle w:val="Heading3"/>
      </w:pPr>
      <w:r>
        <w:t xml:space="preserve">Unità documentale autonoma — Sessioni del 3 e 4 agosto 2026</w:t>
      </w:r>
    </w:p>
    <w:p>
      <w:r>
        <w:pict>
          <v:rect style="width:0;height:1.5pt" o:hralign="center" o:hrstd="t" o:hr="t"/>
        </w:pict>
      </w:r>
    </w:p>
    <w:bookmarkEnd w:id="20"/>
    <w:bookmarkEnd w:id="21"/>
    <w:bookmarkStart w:id="26" w:name="X855daa9c4d1b8395365b8bf0b46813fd22040c1"/>
    <w:p>
      <w:pPr>
        <w:pStyle w:val="Heading2"/>
      </w:pPr>
      <w:r>
        <w:t xml:space="preserve">PARTE PRIMA — CORNICE METODOLOGICA, PERIMETRO E STATUTO DELL’UNITÀ</w:t>
      </w:r>
    </w:p>
    <w:bookmarkStart w:id="22" w:name="natura-e-funzione-dellunità-documentale"/>
    <w:p>
      <w:pPr>
        <w:pStyle w:val="Heading3"/>
      </w:pPr>
      <w:r>
        <w:t xml:space="preserve">1.1 Natura e funzione dell’unità documentale</w:t>
      </w:r>
    </w:p>
    <w:p>
      <w:pPr>
        <w:pStyle w:val="FirstParagraph"/>
      </w:pPr>
      <w:r>
        <w:t xml:space="preserve">Il presente Registro Analitico dei Nodi costituisce lo strato di documentazione preliminare relativo al corpus delle ricerche transnazionali sulla Guerra Fredda condotte nelle sessioni del 3 e 4 agosto 2026. Esso assolve alla funzione complementare e non sostitutiva già codificata per gli strumenti omologhi del progetto: identificare il materiale, caratterizzarlo tipologicamente e probatoriamente, e predisporlo per la successiva costruzione discorsiva cumulativa delle sezioni narrative dell’opera. La separazione operativa fra Registro Analitico e Registro narrativo complessivo riflette la distinzione metodologica fra il momento della catalogazione fattuale e quello dell’accrescimento testuale conservativo.</w:t>
      </w:r>
    </w:p>
    <w:p>
      <w:pPr>
        <w:pStyle w:val="BodyText"/>
      </w:pPr>
      <w:r>
        <w:t xml:space="preserve">La compilazione adotta le quattro Modalità canoniche stabilite dalla versione fondativa del Registro: la Modalità 1 per i nodi-persona ad alta centralità multi-dominio; la Modalità 2 per i nodi-organizzazione; la Modalità 3 per i nodi-evento; la Modalità 4 per i nodi-geografici. Ai fini della presente unità si introduce, in via sperimentale e con motivazione esplicitata nella Parte Nona, una quinta categoria operativa — i nodi-assenza — resa necessaria dalla natura peculiare di questo corpus, in cui una porzione preponderante del risultato analitico consiste in esiti negativi certificati.</w:t>
      </w:r>
    </w:p>
    <w:bookmarkEnd w:id="22"/>
    <w:bookmarkStart w:id="23" w:name="perimetro-analitico"/>
    <w:p>
      <w:pPr>
        <w:pStyle w:val="Heading3"/>
      </w:pPr>
      <w:r>
        <w:t xml:space="preserve">1.2 Perimetro analitico</w:t>
      </w:r>
    </w:p>
    <w:p>
      <w:pPr>
        <w:pStyle w:val="FirstParagraph"/>
      </w:pPr>
      <w:r>
        <w:t xml:space="preserve">Il perimetro coincide con le nove unità documentali prodotte o tentate nel corso delle due sessioni, oltre alla Nota Metodologica che ne governa l’elaborazione. Non si estende ai materiali residenti nella cartella di progetto generale di ITALIA NERA, salvo quando il riferimento incrociato sia documentariamente necessario per la corretta interpretazione di un nodo. Ne consegue che le metriche di centralità qui stimate sono metriche relative al corpus specifico, e non metriche assolute della rete complessiva. La promozione a metrica assoluta richiede l’integrazione con la totalità dei materiali dei Registri cumulativi e dei corpora ancillari, operazione che esula dalla presente compilazione.</w:t>
      </w:r>
    </w:p>
    <w:bookmarkEnd w:id="23"/>
    <w:bookmarkStart w:id="24" w:name="X7eed78a66c346b7b5bc9c227c95f8c04172f890"/>
    <w:p>
      <w:pPr>
        <w:pStyle w:val="Heading3"/>
      </w:pPr>
      <w:r>
        <w:t xml:space="preserve">1.3 Doppio standard probatorio e sua conversione</w:t>
      </w:r>
    </w:p>
    <w:p>
      <w:pPr>
        <w:pStyle w:val="FirstParagraph"/>
      </w:pPr>
      <w:r>
        <w:t xml:space="preserve">Il corpus presenta una peculiarità metodologica che va dichiarata con precisione. I nove rapporti sono stati elaborati secondo una scala di certezza a cinque gradi — CERTO, ALTAMENTE PROBABILE, PROBABILE, POSSIBILE, DA VERIFICARE — mentre il Registro opera secondo lo standard Savona a tre livelli codificato dalla Nota Metodologica: Livello A per la connessione documentata da almeno tre fonti indipendenti di natura diversa; Livello B per la connessione indiziaria fondata su due fonti indipendenti oppure su una singola fonte di alta affidabilità; Livello C per la connessione ipotetica fondata su fonte singola o su convergenza di indizi circostanziali.</w:t>
      </w:r>
    </w:p>
    <w:p>
      <w:pPr>
        <w:pStyle w:val="BodyText"/>
      </w:pPr>
      <w:r>
        <w:t xml:space="preserve">La regola di conversione adottata è la seguente. Le affermazioni classificate CERTO nei rapporti e sostenute da convergenza documentaria archivistica, giudiziaria e storiografica sono iscritte a Livello A. Le affermazioni classificate CERTO ma poggianti su un’unica fonte di alta affidabilità, e le affermazioni classificate ALTAMENTE PROBABILE, sono iscritte a Livello B. Le affermazioni classificate PROBABILE e POSSIBILE sono iscritte a Livello C. Le affermazioni classificate DA VERIFICARE non ricevono classificazione Savona e sono trasferite integralmente alla Parte Decima come lacune diagnostiche. Questa conversione è dichiarata reversibile: il ritrovamento delle fonti indicate nella Parte Decima consente la promozione di livello secondo la procedura ordinaria.</w:t>
      </w:r>
    </w:p>
    <w:bookmarkEnd w:id="24"/>
    <w:bookmarkStart w:id="25" w:name="vincoli-operativi-ereditati"/>
    <w:p>
      <w:pPr>
        <w:pStyle w:val="Heading3"/>
      </w:pPr>
      <w:r>
        <w:t xml:space="preserve">1.4 Vincoli operativi ereditati</w:t>
      </w:r>
    </w:p>
    <w:p>
      <w:pPr>
        <w:pStyle w:val="FirstParagraph"/>
      </w:pPr>
      <w:r>
        <w:t xml:space="preserve">Il corpus è stato elaborato sotto tre vincoli permanenti imposti dal committente e qui registrati perché incidono sulla valutazione della copertura documentaria. Primo vincolo: esclusione integrale di Grokipedia e del quotidiano «il manifesto» come fonti, a partire dal quinto rapporto della serie e mantenuta come istruzione permanente. Secondo vincolo: obbligo di riproduzione a piè di pagina di tutti gli indirizzi completi delle fonti utilizzate, a partire dal secondo rapporto. Terzo vincolo: redazione in lingua italiana, registro accademico-narrativo, prosa discorsiva continua senza elenchi puntati nelle sezioni discorsive, con dichiarazione esplicita degli esiti negativi e con distinzione sistematica fra assenza di prove, prova di assenza e inaccessibilità archivistica.</w:t>
      </w:r>
    </w:p>
    <w:p>
      <w:pPr>
        <w:pStyle w:val="BodyText"/>
      </w:pPr>
      <w:r>
        <w:t xml:space="preserve">Il primo vincolo comporta una possibile sotto-copertura documentaria su specifici nodi — segnatamente le motivazioni delle sentenze bolognesi e le vicende libanesi del neofascismo italiano — per i quali le due testate escluse dispongono di trattazione estesa. Ove la sostituzione con fonti indipendenti è riuscita, il nodo conserva la classificazione; ove non è riuscita, il nodo è iscritto fra le lacune.</w:t>
      </w:r>
    </w:p>
    <w:p>
      <w:r>
        <w:pict>
          <v:rect style="width:0;height:1.5pt" o:hralign="center" o:hrstd="t" o:hr="t"/>
        </w:pict>
      </w:r>
    </w:p>
    <w:bookmarkEnd w:id="25"/>
    <w:bookmarkEnd w:id="26"/>
    <w:bookmarkStart w:id="27" w:name="Xcb12b8ca9bceec5c65b78f019f14496bec212c6"/>
    <w:p>
      <w:pPr>
        <w:pStyle w:val="Heading2"/>
      </w:pPr>
      <w:r>
        <w:t xml:space="preserve">PARTE SECONDA — INVENTARIO DELLE UNITÀ DOCUMENTALI DEL CORPUS</w:t>
      </w:r>
    </w:p>
    <w:p>
      <w:pPr>
        <w:pStyle w:val="FirstParagraph"/>
      </w:pPr>
      <w:r>
        <w:t xml:space="preserve">Il corpus consta di nove unità, di cui otto completate e una non eseguita. Se ne dà qui l’inventario con l’indicazione dell’oggetto, dell’esito prevalente e della funzione svolta nell’economia della rete.</w:t>
      </w:r>
    </w:p>
    <w:p>
      <w:pPr>
        <w:pStyle w:val="BodyText"/>
      </w:pPr>
      <w:r>
        <w:rPr>
          <w:bCs/>
          <w:b/>
        </w:rPr>
        <w:t xml:space="preserve">Unità 1 — Italia, Sudafrica dell’apartheid e Namibia, 1948-1994.</w:t>
      </w:r>
      <w:r>
        <w:t xml:space="preserve"> </w:t>
      </w:r>
      <w:r>
        <w:t xml:space="preserve">Oggetto: relazioni diplomatiche, economiche, militari e movimenti di solidarietà. Esito prevalente: positivo con ambivalenza strutturale documentata. Funzione nella rete: fornisce il nucleo dei nodi economico-militari italiani e il ponte con il Dominio 6.</w:t>
      </w:r>
    </w:p>
    <w:p>
      <w:pPr>
        <w:pStyle w:val="BodyText"/>
      </w:pPr>
      <w:r>
        <w:rPr>
          <w:bCs/>
          <w:b/>
        </w:rPr>
        <w:t xml:space="preserve">Unità 2 — Brasile, Sudafrica dell’apartheid e Namibia, 1948-1994 e oltre.</w:t>
      </w:r>
      <w:r>
        <w:t xml:space="preserve"> </w:t>
      </w:r>
      <w:r>
        <w:t xml:space="preserve">Oggetto: diplomazia, Atlantico del Sud, economia, armi, nucleare, razza e transizione. Esito prevalente: negativo sul versante occulto, positivo sul versante diplomatico. Funzione nella rete: costituisce il caso di controllo che consente di misurare per differenza la densità degli assi italiano e cileno.</w:t>
      </w:r>
    </w:p>
    <w:p>
      <w:pPr>
        <w:pStyle w:val="BodyText"/>
      </w:pPr>
      <w:r>
        <w:rPr>
          <w:bCs/>
          <w:b/>
        </w:rPr>
        <w:t xml:space="preserve">Unità 3 — Cile e Sudafrica dell’apartheid, 1948-1994.</w:t>
      </w:r>
      <w:r>
        <w:t xml:space="preserve"> </w:t>
      </w:r>
      <w:r>
        <w:t xml:space="preserve">Oggetto: anatomia di un asse fra Stati paria. Esito prevalente: positivo, con documentazione di collaborazione militare e di intelligence esibita anziché occultata. Funzione nella rete: massima densità di archi Dominio 3 × Dominio 9 × Dominio 6 dell’intero corpus.</w:t>
      </w:r>
    </w:p>
    <w:p>
      <w:pPr>
        <w:pStyle w:val="BodyText"/>
      </w:pPr>
      <w:r>
        <w:rPr>
          <w:bCs/>
          <w:b/>
        </w:rPr>
        <w:t xml:space="preserve">Unità 4 — Aginter Press, Macao e la Cina.</w:t>
      </w:r>
      <w:r>
        <w:t xml:space="preserve"> </w:t>
      </w:r>
      <w:r>
        <w:t xml:space="preserve">Oggetto: verifica dell’ipotesi estremo-orientale. Esito prevalente: negativo dichiarato. Funzione nella rete: prima delimitazione rigorosa della geografia operativa di Aginter.</w:t>
      </w:r>
    </w:p>
    <w:p>
      <w:pPr>
        <w:pStyle w:val="BodyText"/>
      </w:pPr>
      <w:r>
        <w:rPr>
          <w:bCs/>
          <w:b/>
        </w:rPr>
        <w:t xml:space="preserve">Unità 5 — Aginter Press e l’Asia della Guerra Fredda: Corea, Vietnam, Cambogia.</w:t>
      </w:r>
      <w:r>
        <w:t xml:space="preserve"> </w:t>
      </w:r>
      <w:r>
        <w:t xml:space="preserve">Oggetto: verifica del nesso asiatico. Esito prevalente: negativo operativo, positivo biografico e dottrinale. Funzione nella rete: fornisce la biografia militare integrale del nodo apicale e la genealogia della dottrina della guerra rivoluzionaria.</w:t>
      </w:r>
    </w:p>
    <w:p>
      <w:pPr>
        <w:pStyle w:val="BodyText"/>
      </w:pPr>
      <w:r>
        <w:rPr>
          <w:bCs/>
          <w:b/>
        </w:rPr>
        <w:t xml:space="preserve">Unità 6 — Aginter Press e la Terza Posizione nel mondo.</w:t>
      </w:r>
      <w:r>
        <w:t xml:space="preserve"> </w:t>
      </w:r>
      <w:r>
        <w:t xml:space="preserve">Oggetto: nesso genealogico, personale, giudiziario e ideologico con l’organizzazione italiana e con la corrente globale. Esito prevalente: negativo sul piano organico, positivo sul piano del milieu e della trasmissione ideologica. Funzione nella rete: apre l’intera sezione dei nodi del terzaposizionismo internazionale.</w:t>
      </w:r>
    </w:p>
    <w:p>
      <w:pPr>
        <w:pStyle w:val="BodyText"/>
      </w:pPr>
      <w:r>
        <w:rPr>
          <w:bCs/>
          <w:b/>
        </w:rPr>
        <w:t xml:space="preserve">Unità 7 — Aginter Press e i Paesi sciiti filo-URSS.</w:t>
      </w:r>
      <w:r>
        <w:t xml:space="preserve"> </w:t>
      </w:r>
      <w:r>
        <w:t xml:space="preserve">Oggetto: rapporti con Stati, regimi e movimenti a componente sciita allineati con Mosca. Esito prevalente: negativo, con disambiguazione preliminare della categoria. Funzione nella rete: introduce il teatro mediorientale e la pista inversa libanese.</w:t>
      </w:r>
    </w:p>
    <w:p>
      <w:pPr>
        <w:pStyle w:val="BodyText"/>
      </w:pPr>
      <w:r>
        <w:rPr>
          <w:bCs/>
          <w:b/>
        </w:rPr>
        <w:t xml:space="preserve">Unità 8 — Aginter Press, Patto di Varsavia e intelligence del blocco orientale.</w:t>
      </w:r>
      <w:r>
        <w:t xml:space="preserve"> </w:t>
      </w:r>
      <w:r>
        <w:t xml:space="preserve">Oggetto: ostilità, sorveglianza, scontro indiretto, infiltrazione presunta e disinformazione incrociata. Esito prevalente: negativo sui contatti diretti, positivo sullo scontro indiretto africano. Funzione nella rete: chiude il perimetro esterno di Aginter e apre il capitolo della disinformazione.</w:t>
      </w:r>
    </w:p>
    <w:p>
      <w:pPr>
        <w:pStyle w:val="BodyText"/>
      </w:pPr>
      <w:r>
        <w:rPr>
          <w:bCs/>
          <w:b/>
        </w:rPr>
        <w:t xml:space="preserve">Unità 9 — Aginter Press e il Giappone.</w:t>
      </w:r>
      <w:r>
        <w:t xml:space="preserve"> </w:t>
      </w:r>
      <w:r>
        <w:t xml:space="preserve">Oggetto: corrispondenti giapponesi, dettaglio Osaka nel caso Mondlane, circuito anticomunista nippo-asiatico, ricezione di Mishima, schedatura della sinistra radicale giapponese. Esito:</w:t>
      </w:r>
      <w:r>
        <w:t xml:space="preserve"> </w:t>
      </w:r>
      <w:r>
        <w:rPr>
          <w:bCs/>
          <w:b/>
        </w:rPr>
        <w:t xml:space="preserve">unità non eseguita</w:t>
      </w:r>
      <w:r>
        <w:t xml:space="preserve">. Il comando di ricerca fu integralmente redatto in due occasioni distinte e in entrambe il lancio fallì per indisponibilità dello strumento. L’unità è registrata come lacuna procedurale nella Parte Decima.</w:t>
      </w:r>
    </w:p>
    <w:p>
      <w:r>
        <w:pict>
          <v:rect style="width:0;height:1.5pt" o:hralign="center" o:hrstd="t" o:hr="t"/>
        </w:pict>
      </w:r>
    </w:p>
    <w:bookmarkEnd w:id="27"/>
    <w:bookmarkStart w:id="37" w:name="X64d91dbcb3823476daed4a703f895ebd83c3d35"/>
    <w:p>
      <w:pPr>
        <w:pStyle w:val="Heading2"/>
      </w:pPr>
      <w:r>
        <w:t xml:space="preserve">PARTE TERZA — CATALOGO DEI NODI-PERSONA (MODALITÀ 1)</w:t>
      </w:r>
    </w:p>
    <w:bookmarkStart w:id="28" w:name="nodo-apicale-del-corpus"/>
    <w:p>
      <w:pPr>
        <w:pStyle w:val="Heading3"/>
      </w:pPr>
      <w:r>
        <w:t xml:space="preserve">3.1 Nodo apicale del corpus</w:t>
      </w:r>
    </w:p>
    <w:p>
      <w:pPr>
        <w:pStyle w:val="FirstParagraph"/>
      </w:pPr>
      <w:r>
        <w:rPr>
          <w:bCs/>
          <w:b/>
        </w:rPr>
        <w:t xml:space="preserve">GUÉRIN-SÉRAC, Yves</w:t>
      </w:r>
      <w:r>
        <w:t xml:space="preserve"> </w:t>
      </w:r>
      <w:r>
        <w:t xml:space="preserve">— nato Yves Félix Marie Guillou, Ploubezre, 2 dicembre 1926; deceduto a Le Revest-les-Eaux, Var, 9 marzo 2022, in struttura sanitaria ove era ricoverato dal 2017 per malattia neurodegenerativa. Alias documentati: de Guernadec, Ralf. Domini di appartenenza: Dominio 3 come fondatore e direttore di struttura di intelligence privata; Dominio 7 come organizzatore di rete armata; Dominio 9 come ufficiale di carriera; Dominio 8 come editore di agenzia di stampa di copertura; Dominio 5 per l’impronta di cattolicesimo integralista dell’insegna Ordre et Tradition. Copertura documentaria: sette unità su otto completate. Livello A.</w:t>
      </w:r>
    </w:p>
    <w:p>
      <w:pPr>
        <w:pStyle w:val="BodyText"/>
      </w:pPr>
      <w:r>
        <w:t xml:space="preserve">Traiettoria militare accertata: arrivo in Corea il 26 dicembre 1951; nomina il 4 gennaio 1952 a capo della terza sezione della terza compagnia del Bataillon français de l’ONU, unità di volontari francesi aggregata come quarto battaglione al 23° Regimental Combat Team della 2ª Divisione di fanteria statunitense, al comando del generale Raoul Magrin-Vernerey detto Ralph Monclar; partecipazione alla Battaglia di White Horse fra il 6 e il 10 ottobre 1952; promozione a tenente il 16 ottobre 1952; ferimento da schegge di mortaio il 20 ottobre 1952; decorazioni con Croix de Guerre, US Combat Infantryman Badge del 13 settembre 1952 e Bronze Star; successivo brevetto paracadutista e servizio in Indocina con la prima compagnia del 1er Bataillon de parachutistes coloniaux, con partecipazione all’Operazione Castor del novembre 1953 ma non al grosso della battaglia di Dien Bien Phu; passaggio all’11e Choc e all’orbita SDECE; adesione all’OAS.</w:t>
      </w:r>
    </w:p>
    <w:p>
      <w:pPr>
        <w:pStyle w:val="BodyText"/>
      </w:pPr>
      <w:r>
        <w:t xml:space="preserve">Osservazione analitica: la biografia asiatica di questo nodo è il generatore di quasi tutte le ipotesi di connessione estremo-orientale successivamente smentite dalle Unità 4, 5 e 9. Si tratta di un caso da manuale di attribuzione erronea per contiguità biografica: l’analista che conosce la Corea e l’Indocina nel curriculum del fondatore tende a proiettare l’Asia nella geografia operativa dell’organizzazione. Le tre unità dedicate hanno stabilito che tale proiezione è infondata.</w:t>
      </w:r>
    </w:p>
    <w:bookmarkEnd w:id="28"/>
    <w:bookmarkStart w:id="29" w:name="nodi-ad-alta-betweenness-centrality"/>
    <w:p>
      <w:pPr>
        <w:pStyle w:val="Heading3"/>
      </w:pPr>
      <w:r>
        <w:t xml:space="preserve">3.2 Nodi ad alta betweenness centrality</w:t>
      </w:r>
    </w:p>
    <w:p>
      <w:pPr>
        <w:pStyle w:val="FirstParagraph"/>
      </w:pPr>
      <w:r>
        <w:rPr>
          <w:bCs/>
          <w:b/>
        </w:rPr>
        <w:t xml:space="preserve">DELLE CHIAIE, Stefano</w:t>
      </w:r>
      <w:r>
        <w:t xml:space="preserve"> </w:t>
      </w:r>
      <w:r>
        <w:t xml:space="preserve">(1936-2019). Domini: 7, 3, 4, 2. Copertura: cinque unità. Livello A. È il nodo a betweenness massima dell’intero corpus. Fondatore di Avanguardia Nazionale, membro di Aginter, frequentatore documentato di Guérin-Sérac fra il 1974 e il 1976 secondo l’istruttoria Salvini, protagonista della fase madrilena, disperso verso il Cile e l’Argentina intorno al 1977, e — dato decisivo — unico soggetto che collega documentalmente l’universo Aginter alla generazione successiva di Terza Posizione, attraverso l’incontro parigino con Giuseppe Dimitri del 1979. La sua rimozione dal grafo disconnetterebbe il cluster lisboeta dal cluster romano post-1978. Nodo-cerniera nel senso proprio del Pattern 1.</w:t>
      </w:r>
    </w:p>
    <w:p>
      <w:pPr>
        <w:pStyle w:val="BodyText"/>
      </w:pPr>
      <w:r>
        <w:rPr>
          <w:bCs/>
          <w:b/>
        </w:rPr>
        <w:t xml:space="preserve">LEROY, Robert</w:t>
      </w:r>
      <w:r>
        <w:t xml:space="preserve">. Domini: 3, 7, 8. Copertura: quattro unità. Livello B. Fotografo e agente, ex OAS, indicato come numero due dell’organizzazione. Broker operativo del teatro africano: infiltrazione del FRELIMO in Mozambico fra il 1968 e il 1969 con credenziali giornalistiche, insieme a Jean-Marie Laurent, penetrazione delle zone liberate di Angola e Guinea-Bissau con operazioni di provocazione volte a fomentare dissensi interni ai movimenti. La presenza libanese nel 1975-1976 a fianco delle milizie cristiano-maronite, riportata dall’Unità 7, è classificata a Livello C e figura fra le lacune.</w:t>
      </w:r>
    </w:p>
    <w:p>
      <w:pPr>
        <w:pStyle w:val="BodyText"/>
      </w:pPr>
      <w:r>
        <w:rPr>
          <w:bCs/>
          <w:b/>
        </w:rPr>
        <w:t xml:space="preserve">GELLI, Licio</w:t>
      </w:r>
      <w:r>
        <w:t xml:space="preserve">. Domini: 4, 3, 2, 6, 8. Copertura: quattro unità. Livello A per il ruolo nei depistaggi bolognesi, Livello C per il nesso sudafricano. È il nodo a eigenvector centrality più elevata del corpus: non compare quasi mai in relazione diretta con Aginter, ma è connesso ai nodi a loro volta più connessi. Compaiono nel corpus tre distinti segmenti gelliani: la P2 come holding attiva anche nel contrabbando d’armi e nella vendita di segreti militari secondo il rapporto del servizio informativo brasiliano SNI del 21 luglio 1983; il destinatario del rapporto sul KGB in Europa veicolato attraverso Confidentiel nel 1979; il mandante e finanziatore indicato dalle sentenze bolognesi, con l’appunto denominato «Bologna 525779» sequestratogli a Ginevra nel 1982 e la quantificazione di circa quindici milioni di dollari resa in Corte d’assise dal capitano della Guardia di finanza Cataldo Sgarangella, di cui cinque milioni qualificati dalla Procura generale come prezzo della strage, un milione in contanti prima dell’attentato e quattro accreditati a Ginevra a strage avvenuta, distratti dal Banco Ambrosiano Andino.</w:t>
      </w:r>
    </w:p>
    <w:p>
      <w:pPr>
        <w:pStyle w:val="BodyText"/>
      </w:pPr>
      <w:r>
        <w:rPr>
          <w:bCs/>
          <w:b/>
        </w:rPr>
        <w:t xml:space="preserve">FIORE, Roberto</w:t>
      </w:r>
      <w:r>
        <w:t xml:space="preserve">. Domini: 7, 2, 6. Copertura: due unità. Livello A. Cofondatore di Terza Posizione, proveniente da Ordine Nuovo. Nodo a più alta closeness centrality del segmento terzaposizionista: dalla latitanza londinese raggiunge in pochi passaggi il National Front britannico, la Libia della Jamahiriya, il Narodowe Odrodzenie Polski, la Noua Dreaptă rumena e gli ambienti spagnoli e greci. Traiettoria: Ordine Nuovo, Lotta Studentesca 1976, Terza Posizione 1978, latitanza libanese e londinese dal 1980, impero economico londinese con Meeting Point e St. George Educational Trust, International Third Position 1989, Forza Nuova 1997, europarlamentare 2008-2009, presidenza dell’Alliance for Peace and Freedom dal 2015.</w:t>
      </w:r>
    </w:p>
    <w:p>
      <w:pPr>
        <w:pStyle w:val="BodyText"/>
      </w:pPr>
      <w:r>
        <w:rPr>
          <w:bCs/>
          <w:b/>
        </w:rPr>
        <w:t xml:space="preserve">ADINOLFI, Gabriele</w:t>
      </w:r>
      <w:r>
        <w:t xml:space="preserve">. Domini: 7, 2, 8. Copertura: due unità. Livello A. Cofondatore di Terza Posizione, proveniente dal Fronte Studentesco, transitato per Avanguardia Nazionale intorno al 1973-1975. Soggiorno madrileno dall’ottobre 1982 al settembre 1984 con frequentazione di ambienti franchisti e incontro con Léon Degrelle, senza contatto documentato con reduci di Aginter. Ideologo dell’area nazional-rivoluzionaria contemporanea. Dato analiticamente rilevante: interrogato esplicitamente sull’esistenza di Aginter Press, ha respinto il paradigma anziché rivendicarlo, liquidando come costruzione politica avversaria la tesi della strategia della tensione come azione congiunta. Questo rifiuto di rivendicazione è, nel Pattern 6, evidenza diagnostica a favore dell’ipotesi di assenza di filiazione.</w:t>
      </w:r>
    </w:p>
    <w:p>
      <w:pPr>
        <w:pStyle w:val="BodyText"/>
      </w:pPr>
      <w:r>
        <w:rPr>
          <w:bCs/>
          <w:b/>
        </w:rPr>
        <w:t xml:space="preserve">DIMITRI, Giuseppe</w:t>
      </w:r>
      <w:r>
        <w:t xml:space="preserve">, detto Peppe (deceduto 2006). Domini: 7, 3. Copertura: una unità, con rilevanza sproporzionata. Livello A per l’episodio del dicembre 1979. Cofondatore di Terza Posizione, proveniente da Avanguardia Nazionale. Arrestato a Roma il 14 dicembre 1979 mentre recuperava un carico d’armi nel quartiere Trieste, gli fu rinvenuto addosso un rapporto sul KGB in Europa consegnatogli pochi giorni prima a Parigi da Stefano Delle Chiaie, destinato alla rivista Confidentiel e a personalità fra cui Licio Gelli. È l’unico arco documentato che collega direttamente un dirigente di Terza Posizione a un membro fondatore di Aginter, e insieme l’unico documento del corpus in cui l’area nera italiana appare impegnata in produzione di controspionaggio antisovietico.</w:t>
      </w:r>
    </w:p>
    <w:bookmarkEnd w:id="29"/>
    <w:bookmarkStart w:id="30" w:name="Xc8606ca5011416e012cf278fb928907850a5f5a"/>
    <w:p>
      <w:pPr>
        <w:pStyle w:val="Heading3"/>
      </w:pPr>
      <w:r>
        <w:t xml:space="preserve">3.3 Nodi dell’apparato portoghese e della rete lisboeta</w:t>
      </w:r>
    </w:p>
    <w:p>
      <w:pPr>
        <w:pStyle w:val="FirstParagraph"/>
      </w:pPr>
      <w:r>
        <w:rPr>
          <w:bCs/>
          <w:b/>
        </w:rPr>
        <w:t xml:space="preserve">MONTEIRO, Casimiro</w:t>
      </w:r>
      <w:r>
        <w:t xml:space="preserve">. Domini: 3, 7. Livello B. Esperto di esplosivi nato a Goa, operativo di Aginter secondo diverse fonti, indicato come assemblatore dell’ordigno che uccise Eduardo Mondlane. La corroborazione proviene da due agenti della PIDE, da un ufficiale dell’intelligence rhodesiana e dal figlio dello stesso Monteiro, con scetticismo storiografico dichiarato sull’attendibilità dei racconti.</w:t>
      </w:r>
    </w:p>
    <w:p>
      <w:pPr>
        <w:pStyle w:val="BodyText"/>
      </w:pPr>
      <w:r>
        <w:rPr>
          <w:bCs/>
          <w:b/>
        </w:rPr>
        <w:t xml:space="preserve">SILVA PAIS, Fernando</w:t>
      </w:r>
      <w:r>
        <w:t xml:space="preserve">. Dominio 3. Livello B. Direttore della PIDE, vertice dell’apparato committente e finanziatore di Aginter.</w:t>
      </w:r>
    </w:p>
    <w:p>
      <w:pPr>
        <w:pStyle w:val="BodyText"/>
      </w:pPr>
      <w:r>
        <w:rPr>
          <w:bCs/>
          <w:b/>
        </w:rPr>
        <w:t xml:space="preserve">Quadri identificati dal rapporto SDCI portoghese del 1994</w:t>
      </w:r>
      <w:r>
        <w:t xml:space="preserve">: Guy d’Avezac de Castera, Jean Vallantin,</w:t>
      </w:r>
      <w:r>
        <w:t xml:space="preserve"> </w:t>
      </w:r>
      <w:r>
        <w:rPr>
          <w:bCs/>
          <w:b/>
        </w:rPr>
        <w:t xml:space="preserve">Jean Guillou</w:t>
      </w:r>
      <w:r>
        <w:t xml:space="preserve"> </w:t>
      </w:r>
      <w:r>
        <w:t xml:space="preserve">(fratello del fondatore), Jean-Denis Raingeard de la Bletière,</w:t>
      </w:r>
      <w:r>
        <w:t xml:space="preserve"> </w:t>
      </w:r>
      <w:r>
        <w:rPr>
          <w:bCs/>
          <w:b/>
        </w:rPr>
        <w:t xml:space="preserve">Jean-Marie Laurent</w:t>
      </w:r>
      <w:r>
        <w:t xml:space="preserve"> </w:t>
      </w:r>
      <w:r>
        <w:t xml:space="preserve">detto Lafitte, Jean Brune. Dominio 3. Livello B. Teatri operativi documentati: Congo-Brazzaville, Mozambico, Guinea, Katanga, Guatemala. Nessuno risulta impiegato in Asia. Il nodo Jean Guillou è l’unico elemento dinastico rilevabile nel segmento Aginter del corpus.</w:t>
      </w:r>
    </w:p>
    <w:bookmarkEnd w:id="30"/>
    <w:bookmarkStart w:id="31" w:name="X7775d99bbf32faefd1bd0f3da430b81f7ecec9c"/>
    <w:p>
      <w:pPr>
        <w:pStyle w:val="Heading3"/>
      </w:pPr>
      <w:r>
        <w:t xml:space="preserve">3.4 Nodi italiani del circuito informativo e giudiziario</w:t>
      </w:r>
    </w:p>
    <w:p>
      <w:pPr>
        <w:pStyle w:val="FirstParagraph"/>
      </w:pPr>
      <w:r>
        <w:rPr>
          <w:bCs/>
          <w:b/>
        </w:rPr>
        <w:t xml:space="preserve">GIANNETTINI, Guido</w:t>
      </w:r>
      <w:r>
        <w:t xml:space="preserve">. Domini: 3, 8, 7. Livello B. Incontro con Guérin-Sérac a Lisbona nel 1964, presentato da un membro dell’OAS e alla presenza di un funzionario della PIDE, secondo testimonianza resa nel 1993 al giudice istruttore.</w:t>
      </w:r>
    </w:p>
    <w:p>
      <w:pPr>
        <w:pStyle w:val="BodyText"/>
      </w:pPr>
      <w:r>
        <w:rPr>
          <w:bCs/>
          <w:b/>
        </w:rPr>
        <w:t xml:space="preserve">TORCHIA, Giorgio</w:t>
      </w:r>
      <w:r>
        <w:t xml:space="preserve">. Domini: 8, 3. Livello C. Titolare dell’agenzia Oltremare, schedato come molto legato ai sud-vietnamiti e ai cinesi nazionalisti. L’accordo Oltremare-Aginter riguardava però lo scambio di documentazione su paesi africani: è il caso esemplare di contatto asiatico personale mai tradotto in operazione.</w:t>
      </w:r>
    </w:p>
    <w:p>
      <w:pPr>
        <w:pStyle w:val="BodyText"/>
      </w:pPr>
      <w:r>
        <w:rPr>
          <w:bCs/>
          <w:b/>
        </w:rPr>
        <w:t xml:space="preserve">BUSCAROLI, Piero</w:t>
      </w:r>
      <w:r>
        <w:t xml:space="preserve">. Dominio 8. Livello C. Collaboratore de Il Borghese, indicato in un rapporto dell’agente «Joel» del 25 novembre 1966 come titolare di importanti contatti nel Sud-Est asiatico e di rapporti amichevoli con il generale Nguyễn Cao Kỳ, senza alcun seguito operativo documentato.</w:t>
      </w:r>
    </w:p>
    <w:p>
      <w:pPr>
        <w:pStyle w:val="BodyText"/>
      </w:pPr>
      <w:r>
        <w:rPr>
          <w:bCs/>
          <w:b/>
        </w:rPr>
        <w:t xml:space="preserve">VINCIGUERRA, Vincenzo</w:t>
      </w:r>
      <w:r>
        <w:t xml:space="preserve">. Domini: 7, 10. Livello A come fonte testimoniale. Ordinovista, testimone interno agli atti dell’istruttoria Salvini sulla dispersione del gruppo di Madrid verso Cile e Argentina intorno al 1977. Avvertenza analitica registrata: la sua tesi sulla manipolazione dell’ambiente nazional-rivoluzionario riguarda i servizi occidentali e non va confusa con ipotesi di penetrazione orientale.</w:t>
      </w:r>
    </w:p>
    <w:p>
      <w:pPr>
        <w:pStyle w:val="BodyText"/>
      </w:pPr>
      <w:r>
        <w:rPr>
          <w:bCs/>
          <w:b/>
        </w:rPr>
        <w:t xml:space="preserve">SALVINI, Guido</w:t>
      </w:r>
      <w:r>
        <w:t xml:space="preserve">. Dominio 10. Livello A. Giudice istruttore autore dell’istruttoria che colloca Aginter nella strategia delle stragi italiane e che, nella Parte Sesta interamente dedicata all’agenzia e al gruppo di Madrid, capitoli 58-67, non contiene alcuna menzione di Terza Posizione. Questa assenza è, nel presente Registro, evidenza probatoria di primo rilievo.</w:t>
      </w:r>
    </w:p>
    <w:bookmarkEnd w:id="31"/>
    <w:bookmarkStart w:id="32" w:name="X9b1a6981e47c03440aed097683ce4e4ef0467e7"/>
    <w:p>
      <w:pPr>
        <w:pStyle w:val="Heading3"/>
      </w:pPr>
      <w:r>
        <w:t xml:space="preserve">3.5 Nodi del terzaposizionismo italiano e internazionale</w:t>
      </w:r>
    </w:p>
    <w:p>
      <w:pPr>
        <w:pStyle w:val="FirstParagraph"/>
      </w:pPr>
      <w:r>
        <w:t xml:space="preserve">Segmento italiano:</w:t>
      </w:r>
      <w:r>
        <w:t xml:space="preserve"> </w:t>
      </w:r>
      <w:r>
        <w:rPr>
          <w:bCs/>
          <w:b/>
        </w:rPr>
        <w:t xml:space="preserve">Massimo Morsello</w:t>
      </w:r>
      <w:r>
        <w:t xml:space="preserve"> </w:t>
      </w:r>
      <w:r>
        <w:t xml:space="preserve">(Domini 7, 6, cofinanziatore londinese);</w:t>
      </w:r>
      <w:r>
        <w:t xml:space="preserve"> </w:t>
      </w:r>
      <w:r>
        <w:rPr>
          <w:bCs/>
          <w:b/>
        </w:rPr>
        <w:t xml:space="preserve">Marcello De Angelis</w:t>
      </w:r>
      <w:r>
        <w:t xml:space="preserve"> </w:t>
      </w:r>
      <w:r>
        <w:t xml:space="preserve">(Domini 7, 8, 2);</w:t>
      </w:r>
      <w:r>
        <w:t xml:space="preserve"> </w:t>
      </w:r>
      <w:r>
        <w:rPr>
          <w:bCs/>
          <w:b/>
        </w:rPr>
        <w:t xml:space="preserve">Walter Spedicato</w:t>
      </w:r>
      <w:r>
        <w:t xml:space="preserve"> </w:t>
      </w:r>
      <w:r>
        <w:t xml:space="preserve">(Dominio 7, gestore della Libreria Romana ove nacque Lotta Studentesca nel 1976, fuga a Parigi con Adinolfi il 17 ottobre 1982);</w:t>
      </w:r>
      <w:r>
        <w:t xml:space="preserve"> </w:t>
      </w:r>
      <w:r>
        <w:rPr>
          <w:bCs/>
          <w:b/>
        </w:rPr>
        <w:t xml:space="preserve">Nanni De Angelis</w:t>
      </w:r>
      <w:r>
        <w:t xml:space="preserve"> </w:t>
      </w:r>
      <w:r>
        <w:t xml:space="preserve">(Dominio 7, arrestato nelle indagini bolognesi, ritrovato impiccato in cella il 5 ottobre 1980 a ventidue anni, in circostanze mai chiarite);</w:t>
      </w:r>
      <w:r>
        <w:t xml:space="preserve"> </w:t>
      </w:r>
      <w:r>
        <w:rPr>
          <w:bCs/>
          <w:b/>
        </w:rPr>
        <w:t xml:space="preserve">Germana De Angelis</w:t>
      </w:r>
      <w:r>
        <w:t xml:space="preserve"> </w:t>
      </w:r>
      <w:r>
        <w:t xml:space="preserve">(nodo parentale, coniugata con Luigi Ciavardini);</w:t>
      </w:r>
      <w:r>
        <w:t xml:space="preserve"> </w:t>
      </w:r>
      <w:r>
        <w:rPr>
          <w:bCs/>
          <w:b/>
        </w:rPr>
        <w:t xml:space="preserve">Giancarlo Laganà, Fabrizio Mottironi, Vincenzo Piso, Roberto Nistri</w:t>
      </w:r>
      <w:r>
        <w:t xml:space="preserve"> </w:t>
      </w:r>
      <w:r>
        <w:t xml:space="preserve">(direttivo nazionale);</w:t>
      </w:r>
      <w:r>
        <w:t xml:space="preserve"> </w:t>
      </w:r>
      <w:r>
        <w:rPr>
          <w:bCs/>
          <w:b/>
        </w:rPr>
        <w:t xml:space="preserve">Paolo Signorelli</w:t>
      </w:r>
      <w:r>
        <w:t xml:space="preserve"> </w:t>
      </w:r>
      <w:r>
        <w:t xml:space="preserve">(Dominio 7, ideologo di riferimento iniziale, già leader di Ordine Nuovo a Roma);</w:t>
      </w:r>
      <w:r>
        <w:t xml:space="preserve"> </w:t>
      </w:r>
      <w:r>
        <w:rPr>
          <w:bCs/>
          <w:b/>
        </w:rPr>
        <w:t xml:space="preserve">Franco Freda</w:t>
      </w:r>
      <w:r>
        <w:t xml:space="preserve"> </w:t>
      </w:r>
      <w:r>
        <w:t xml:space="preserve">(Dominio 7, autore nel 1969 de «La disintegrazione del sistema», cerniera ideologica fra le generazioni).</w:t>
      </w:r>
    </w:p>
    <w:p>
      <w:pPr>
        <w:pStyle w:val="BodyText"/>
      </w:pPr>
      <w:r>
        <w:t xml:space="preserve">Segmento NAR e stragista:</w:t>
      </w:r>
      <w:r>
        <w:t xml:space="preserve"> </w:t>
      </w:r>
      <w:r>
        <w:rPr>
          <w:bCs/>
          <w:b/>
        </w:rPr>
        <w:t xml:space="preserve">Valerio Fioravanti</w:t>
      </w:r>
      <w:r>
        <w:t xml:space="preserve">,</w:t>
      </w:r>
      <w:r>
        <w:t xml:space="preserve"> </w:t>
      </w:r>
      <w:r>
        <w:rPr>
          <w:bCs/>
          <w:b/>
        </w:rPr>
        <w:t xml:space="preserve">Francesca Mambro</w:t>
      </w:r>
      <w:r>
        <w:t xml:space="preserve">,</w:t>
      </w:r>
      <w:r>
        <w:t xml:space="preserve"> </w:t>
      </w:r>
      <w:r>
        <w:rPr>
          <w:bCs/>
          <w:b/>
        </w:rPr>
        <w:t xml:space="preserve">Alessandro Alibrandi</w:t>
      </w:r>
      <w:r>
        <w:t xml:space="preserve">,</w:t>
      </w:r>
      <w:r>
        <w:t xml:space="preserve"> </w:t>
      </w:r>
      <w:r>
        <w:rPr>
          <w:bCs/>
          <w:b/>
        </w:rPr>
        <w:t xml:space="preserve">Luigi Ciavardini</w:t>
      </w:r>
      <w:r>
        <w:t xml:space="preserve">,</w:t>
      </w:r>
      <w:r>
        <w:t xml:space="preserve"> </w:t>
      </w:r>
      <w:r>
        <w:rPr>
          <w:bCs/>
          <w:b/>
        </w:rPr>
        <w:t xml:space="preserve">Gilberto Cavallini</w:t>
      </w:r>
      <w:r>
        <w:t xml:space="preserve"> </w:t>
      </w:r>
      <w:r>
        <w:t xml:space="preserve">(ergastolo definitivo confermato dalla Cassazione il 15 gennaio 2025),</w:t>
      </w:r>
      <w:r>
        <w:t xml:space="preserve"> </w:t>
      </w:r>
      <w:r>
        <w:rPr>
          <w:bCs/>
          <w:b/>
        </w:rPr>
        <w:t xml:space="preserve">Paolo Bellini</w:t>
      </w:r>
      <w:r>
        <w:t xml:space="preserve"> </w:t>
      </w:r>
      <w:r>
        <w:t xml:space="preserve">(già di Avanguardia Nazionale, ergastolo dalla Corte d’assise di Bologna nell’aprile 2022, irrevocabile per la Cassazione il 1° luglio 2025).</w:t>
      </w:r>
    </w:p>
    <w:p>
      <w:pPr>
        <w:pStyle w:val="BodyText"/>
      </w:pPr>
      <w:r>
        <w:t xml:space="preserve">Segmento dei mandanti e depistatori:</w:t>
      </w:r>
      <w:r>
        <w:t xml:space="preserve"> </w:t>
      </w:r>
      <w:r>
        <w:rPr>
          <w:bCs/>
          <w:b/>
        </w:rPr>
        <w:t xml:space="preserve">Umberto Ortolani</w:t>
      </w:r>
      <w:r>
        <w:t xml:space="preserve">,</w:t>
      </w:r>
      <w:r>
        <w:t xml:space="preserve"> </w:t>
      </w:r>
      <w:r>
        <w:rPr>
          <w:bCs/>
          <w:b/>
        </w:rPr>
        <w:t xml:space="preserve">Federico Umberto D’Amato</w:t>
      </w:r>
      <w:r>
        <w:t xml:space="preserve"> </w:t>
      </w:r>
      <w:r>
        <w:t xml:space="preserve">(capo dell’Ufficio Affari Riservati, definito nelle motivazioni figura di riferimento in ambito atlantico ed europeo),</w:t>
      </w:r>
      <w:r>
        <w:t xml:space="preserve"> </w:t>
      </w:r>
      <w:r>
        <w:rPr>
          <w:bCs/>
          <w:b/>
        </w:rPr>
        <w:t xml:space="preserve">Mario Tedeschi</w:t>
      </w:r>
      <w:r>
        <w:t xml:space="preserve"> </w:t>
      </w:r>
      <w:r>
        <w:t xml:space="preserve">(senatore MSI e direttore de Il Borghese),</w:t>
      </w:r>
      <w:r>
        <w:t xml:space="preserve"> </w:t>
      </w:r>
      <w:r>
        <w:rPr>
          <w:bCs/>
          <w:b/>
        </w:rPr>
        <w:t xml:space="preserve">Roberto Calvi</w:t>
      </w:r>
      <w:r>
        <w:t xml:space="preserve"> </w:t>
      </w:r>
      <w:r>
        <w:t xml:space="preserve">(Banco Ambrosiano),</w:t>
      </w:r>
      <w:r>
        <w:t xml:space="preserve"> </w:t>
      </w:r>
      <w:r>
        <w:rPr>
          <w:bCs/>
          <w:b/>
        </w:rPr>
        <w:t xml:space="preserve">Elio Cioppa</w:t>
      </w:r>
      <w:r>
        <w:t xml:space="preserve"> </w:t>
      </w:r>
      <w:r>
        <w:t xml:space="preserve">(SISDE, affiliato P2, destinatario nei primi giorni di settembre 1980 dell’indicazione gelliana di battere la pista internazionale),</w:t>
      </w:r>
      <w:r>
        <w:t xml:space="preserve"> </w:t>
      </w:r>
      <w:r>
        <w:rPr>
          <w:bCs/>
          <w:b/>
        </w:rPr>
        <w:t xml:space="preserve">Giulio Grassini</w:t>
      </w:r>
      <w:r>
        <w:t xml:space="preserve"> </w:t>
      </w:r>
      <w:r>
        <w:t xml:space="preserve">(capo del SISDE, piduista, avallo della pista libanese),</w:t>
      </w:r>
      <w:r>
        <w:t xml:space="preserve"> </w:t>
      </w:r>
      <w:r>
        <w:rPr>
          <w:bCs/>
          <w:b/>
        </w:rPr>
        <w:t xml:space="preserve">Giuseppe Santovito</w:t>
      </w:r>
      <w:r>
        <w:t xml:space="preserve"> </w:t>
      </w:r>
      <w:r>
        <w:t xml:space="preserve">e</w:t>
      </w:r>
      <w:r>
        <w:t xml:space="preserve"> </w:t>
      </w:r>
      <w:r>
        <w:rPr>
          <w:bCs/>
          <w:b/>
        </w:rPr>
        <w:t xml:space="preserve">Pietro Musumeci</w:t>
      </w:r>
      <w:r>
        <w:t xml:space="preserve"> </w:t>
      </w:r>
      <w:r>
        <w:t xml:space="preserve">(SISMI, piduisti, costruttori dell’operazione «terrore sui treni»),</w:t>
      </w:r>
      <w:r>
        <w:t xml:space="preserve"> </w:t>
      </w:r>
      <w:r>
        <w:rPr>
          <w:bCs/>
          <w:b/>
        </w:rPr>
        <w:t xml:space="preserve">Francesco Pazienza</w:t>
      </w:r>
      <w:r>
        <w:t xml:space="preserve">.</w:t>
      </w:r>
    </w:p>
    <w:p>
      <w:pPr>
        <w:pStyle w:val="BodyText"/>
      </w:pPr>
      <w:r>
        <w:t xml:space="preserve">Segmento britannico e internazionale:</w:t>
      </w:r>
      <w:r>
        <w:t xml:space="preserve"> </w:t>
      </w:r>
      <w:r>
        <w:rPr>
          <w:bCs/>
          <w:b/>
        </w:rPr>
        <w:t xml:space="preserve">Derek Holland</w:t>
      </w:r>
      <w:r>
        <w:t xml:space="preserve"> </w:t>
      </w:r>
      <w:r>
        <w:t xml:space="preserve">(autore nel 1984 del pamphlet «The Political Soldier»);</w:t>
      </w:r>
      <w:r>
        <w:t xml:space="preserve"> </w:t>
      </w:r>
      <w:r>
        <w:rPr>
          <w:bCs/>
          <w:b/>
        </w:rPr>
        <w:t xml:space="preserve">Nick Griffin</w:t>
      </w:r>
      <w:r>
        <w:t xml:space="preserve"> </w:t>
      </w:r>
      <w:r>
        <w:t xml:space="preserve">(uscito nel 1990 verso il British National Party);</w:t>
      </w:r>
      <w:r>
        <w:t xml:space="preserve"> </w:t>
      </w:r>
      <w:r>
        <w:rPr>
          <w:bCs/>
          <w:b/>
        </w:rPr>
        <w:t xml:space="preserve">Patrick Harrington</w:t>
      </w:r>
      <w:r>
        <w:t xml:space="preserve">;</w:t>
      </w:r>
      <w:r>
        <w:t xml:space="preserve"> </w:t>
      </w:r>
      <w:r>
        <w:rPr>
          <w:bCs/>
          <w:b/>
        </w:rPr>
        <w:t xml:space="preserve">Troy Southgate</w:t>
      </w:r>
      <w:r>
        <w:t xml:space="preserve"> </w:t>
      </w:r>
      <w:r>
        <w:t xml:space="preserve">(militante NF dal 1984, aderente all’ITP nel 1989, fuoriuscito nel 1992 con accusa di cattolicesimo reazionario borghese, fondatore nel 1996 della National Revolutionary Faction e teorico del national-anarchism);</w:t>
      </w:r>
      <w:r>
        <w:t xml:space="preserve"> </w:t>
      </w:r>
      <w:r>
        <w:rPr>
          <w:bCs/>
          <w:b/>
        </w:rPr>
        <w:t xml:space="preserve">Adam Gmurczyk</w:t>
      </w:r>
      <w:r>
        <w:t xml:space="preserve"> </w:t>
      </w:r>
      <w:r>
        <w:t xml:space="preserve">(Narodowe Odrodzenie Polski, aderente nel 1992, cofirmatario della Dichiarazione della Terza Posizione);</w:t>
      </w:r>
      <w:r>
        <w:t xml:space="preserve"> </w:t>
      </w:r>
      <w:r>
        <w:rPr>
          <w:bCs/>
          <w:b/>
        </w:rPr>
        <w:t xml:space="preserve">Michael Fishwick</w:t>
      </w:r>
      <w:r>
        <w:t xml:space="preserve">;</w:t>
      </w:r>
      <w:r>
        <w:t xml:space="preserve"> </w:t>
      </w:r>
      <w:r>
        <w:rPr>
          <w:bCs/>
          <w:b/>
        </w:rPr>
        <w:t xml:space="preserve">Matthew Heimbach</w:t>
      </w:r>
      <w:r>
        <w:t xml:space="preserve"> </w:t>
      </w:r>
      <w:r>
        <w:t xml:space="preserve">(Traditionalist Worker Party, autodefinitosi nazionalbolscevico).</w:t>
      </w:r>
    </w:p>
    <w:p>
      <w:pPr>
        <w:pStyle w:val="BodyText"/>
      </w:pPr>
      <w:r>
        <w:t xml:space="preserve">Segmento francese e dei precursori:</w:t>
      </w:r>
      <w:r>
        <w:t xml:space="preserve"> </w:t>
      </w:r>
      <w:r>
        <w:rPr>
          <w:bCs/>
          <w:b/>
        </w:rPr>
        <w:t xml:space="preserve">Jean Thiriart</w:t>
      </w:r>
      <w:r>
        <w:t xml:space="preserve"> </w:t>
      </w:r>
      <w:r>
        <w:t xml:space="preserve">(Jeune Europe 1962-1969, teorico del comunitarismo europeo, guida nell’agosto 1992 di una delegazione nazionalcomunista in Russia);</w:t>
      </w:r>
      <w:r>
        <w:t xml:space="preserve"> </w:t>
      </w:r>
      <w:r>
        <w:rPr>
          <w:bCs/>
          <w:b/>
        </w:rPr>
        <w:t xml:space="preserve">François Duprat</w:t>
      </w:r>
      <w:r>
        <w:t xml:space="preserve"> </w:t>
      </w:r>
      <w:r>
        <w:t xml:space="preserve">(Manifeste nationaliste révolutionnaire, novembre 1976; assassinato il 18 marzo 1978);</w:t>
      </w:r>
      <w:r>
        <w:t xml:space="preserve"> </w:t>
      </w:r>
      <w:r>
        <w:rPr>
          <w:bCs/>
          <w:b/>
        </w:rPr>
        <w:t xml:space="preserve">Jean-Gilles Malliarakis</w:t>
      </w:r>
      <w:r>
        <w:t xml:space="preserve"> </w:t>
      </w:r>
      <w:r>
        <w:t xml:space="preserve">(Mouvement nationaliste révolutionnaire dall’11 febbraio 1979, Troisième Voie dal 1985, fornitore di supporto logistico ai latitanti italiani di Terza Posizione in Francia);</w:t>
      </w:r>
      <w:r>
        <w:t xml:space="preserve"> </w:t>
      </w:r>
      <w:r>
        <w:rPr>
          <w:bCs/>
          <w:b/>
        </w:rPr>
        <w:t xml:space="preserve">Christian Bouchet</w:t>
      </w:r>
      <w:r>
        <w:t xml:space="preserve"> </w:t>
      </w:r>
      <w:r>
        <w:t xml:space="preserve">(Nouvelle Résistance, scissione del 1991);</w:t>
      </w:r>
      <w:r>
        <w:t xml:space="preserve"> </w:t>
      </w:r>
      <w:r>
        <w:rPr>
          <w:bCs/>
          <w:b/>
        </w:rPr>
        <w:t xml:space="preserve">Claudio Mutti</w:t>
      </w:r>
      <w:r>
        <w:t xml:space="preserve"> </w:t>
      </w:r>
      <w:r>
        <w:t xml:space="preserve">(islamofilia della destra radicale italiana);</w:t>
      </w:r>
      <w:r>
        <w:t xml:space="preserve"> </w:t>
      </w:r>
      <w:r>
        <w:rPr>
          <w:bCs/>
          <w:b/>
        </w:rPr>
        <w:t xml:space="preserve">Eduard Limonov</w:t>
      </w:r>
      <w:r>
        <w:t xml:space="preserve"> </w:t>
      </w:r>
      <w:r>
        <w:t xml:space="preserve">e</w:t>
      </w:r>
      <w:r>
        <w:t xml:space="preserve"> </w:t>
      </w:r>
      <w:r>
        <w:rPr>
          <w:bCs/>
          <w:b/>
        </w:rPr>
        <w:t xml:space="preserve">Aleksandr Dugin</w:t>
      </w:r>
      <w:r>
        <w:t xml:space="preserve"> </w:t>
      </w:r>
      <w:r>
        <w:t xml:space="preserve">(National Bolshevik Party 1993);</w:t>
      </w:r>
      <w:r>
        <w:t xml:space="preserve"> </w:t>
      </w:r>
      <w:r>
        <w:rPr>
          <w:bCs/>
          <w:b/>
        </w:rPr>
        <w:t xml:space="preserve">Enzo Maria Dantini</w:t>
      </w:r>
      <w:r>
        <w:t xml:space="preserve"> </w:t>
      </w:r>
      <w:r>
        <w:t xml:space="preserve">(Lotta di Popolo, indicato come possibile membro di Aginter e supervisore di un corso sugli esplosivi a Roma nel 1967: unico ponte congetturale fra Aginter e l’ambiente da cui proviene Adinolfi, Livello C).</w:t>
      </w:r>
    </w:p>
    <w:p>
      <w:pPr>
        <w:pStyle w:val="BodyText"/>
      </w:pPr>
      <w:r>
        <w:t xml:space="preserve">Segmento delle fonti ideologiche non organizzative:</w:t>
      </w:r>
      <w:r>
        <w:t xml:space="preserve"> </w:t>
      </w:r>
      <w:r>
        <w:rPr>
          <w:bCs/>
          <w:b/>
        </w:rPr>
        <w:t xml:space="preserve">Corneliu Zelea Codreanu</w:t>
      </w:r>
      <w:r>
        <w:t xml:space="preserve"> </w:t>
      </w:r>
      <w:r>
        <w:t xml:space="preserve">(modello del cuib),</w:t>
      </w:r>
      <w:r>
        <w:t xml:space="preserve"> </w:t>
      </w:r>
      <w:r>
        <w:rPr>
          <w:bCs/>
          <w:b/>
        </w:rPr>
        <w:t xml:space="preserve">Julius Evola</w:t>
      </w:r>
      <w:r>
        <w:t xml:space="preserve">,</w:t>
      </w:r>
      <w:r>
        <w:t xml:space="preserve"> </w:t>
      </w:r>
      <w:r>
        <w:rPr>
          <w:bCs/>
          <w:b/>
        </w:rPr>
        <w:t xml:space="preserve">Pierre Drieu La Rochelle</w:t>
      </w:r>
      <w:r>
        <w:t xml:space="preserve">,</w:t>
      </w:r>
      <w:r>
        <w:t xml:space="preserve"> </w:t>
      </w:r>
      <w:r>
        <w:rPr>
          <w:bCs/>
          <w:b/>
        </w:rPr>
        <w:t xml:space="preserve">Ernst Niekisch</w:t>
      </w:r>
      <w:r>
        <w:t xml:space="preserve">,</w:t>
      </w:r>
      <w:r>
        <w:t xml:space="preserve"> </w:t>
      </w:r>
      <w:r>
        <w:rPr>
          <w:bCs/>
          <w:b/>
        </w:rPr>
        <w:t xml:space="preserve">Gregor e Otto Strasser</w:t>
      </w:r>
      <w:r>
        <w:t xml:space="preserve">,</w:t>
      </w:r>
      <w:r>
        <w:t xml:space="preserve"> </w:t>
      </w:r>
      <w:r>
        <w:rPr>
          <w:bCs/>
          <w:b/>
        </w:rPr>
        <w:t xml:space="preserve">José Antonio Primo de Rivera</w:t>
      </w:r>
      <w:r>
        <w:t xml:space="preserve">,</w:t>
      </w:r>
      <w:r>
        <w:t xml:space="preserve"> </w:t>
      </w:r>
      <w:r>
        <w:rPr>
          <w:bCs/>
          <w:b/>
        </w:rPr>
        <w:t xml:space="preserve">Juan Domingo Perón</w:t>
      </w:r>
      <w:r>
        <w:t xml:space="preserve"> </w:t>
      </w:r>
      <w:r>
        <w:t xml:space="preserve">(Tercera Posición giustizialista, omonimo statuale distinto),</w:t>
      </w:r>
      <w:r>
        <w:t xml:space="preserve"> </w:t>
      </w:r>
      <w:r>
        <w:rPr>
          <w:bCs/>
          <w:b/>
        </w:rPr>
        <w:t xml:space="preserve">Mu’ammar Gheddafi</w:t>
      </w:r>
      <w:r>
        <w:t xml:space="preserve"> </w:t>
      </w:r>
      <w:r>
        <w:t xml:space="preserve">(Terza Teoria Universale),</w:t>
      </w:r>
      <w:r>
        <w:t xml:space="preserve"> </w:t>
      </w:r>
      <w:r>
        <w:rPr>
          <w:bCs/>
          <w:b/>
        </w:rPr>
        <w:t xml:space="preserve">Ruhollah Khomeini</w:t>
      </w:r>
      <w:r>
        <w:t xml:space="preserve"> </w:t>
      </w:r>
      <w:r>
        <w:t xml:space="preserve">(né Est né Ovest).</w:t>
      </w:r>
    </w:p>
    <w:bookmarkEnd w:id="32"/>
    <w:bookmarkStart w:id="33" w:name="nodi-del-teatro-mediorientale"/>
    <w:p>
      <w:pPr>
        <w:pStyle w:val="Heading3"/>
      </w:pPr>
      <w:r>
        <w:t xml:space="preserve">3.6 Nodi del teatro mediorientale</w:t>
      </w:r>
    </w:p>
    <w:p>
      <w:pPr>
        <w:pStyle w:val="FirstParagraph"/>
      </w:pPr>
      <w:r>
        <w:rPr>
          <w:bCs/>
          <w:b/>
        </w:rPr>
        <w:t xml:space="preserve">AL-ASSAD, Hafez</w:t>
      </w:r>
      <w:r>
        <w:t xml:space="preserve"> </w:t>
      </w:r>
      <w:r>
        <w:t xml:space="preserve">(Domini 2, 3, 9; vertice alauita dal movimento correttivo del novembre 1970, alleato strategico dell’URSS, Trattato di amicizia del 1980);</w:t>
      </w:r>
      <w:r>
        <w:t xml:space="preserve"> </w:t>
      </w:r>
      <w:r>
        <w:rPr>
          <w:bCs/>
          <w:b/>
        </w:rPr>
        <w:t xml:space="preserve">SADDAM HUSSEIN</w:t>
      </w:r>
      <w:r>
        <w:t xml:space="preserve"> </w:t>
      </w:r>
      <w:r>
        <w:t xml:space="preserve">e</w:t>
      </w:r>
      <w:r>
        <w:t xml:space="preserve"> </w:t>
      </w:r>
      <w:r>
        <w:rPr>
          <w:bCs/>
          <w:b/>
        </w:rPr>
        <w:t xml:space="preserve">AHMAD HASAN AL-BAKR</w:t>
      </w:r>
      <w:r>
        <w:t xml:space="preserve"> </w:t>
      </w:r>
      <w:r>
        <w:t xml:space="preserve">(Domini 2, 3; Trattato di amicizia e cooperazione con l’URSS firmato a Baghdad il 9 aprile 1972, siglato per parte sovietica da</w:t>
      </w:r>
      <w:r>
        <w:t xml:space="preserve"> </w:t>
      </w:r>
      <w:r>
        <w:rPr>
          <w:bCs/>
          <w:b/>
        </w:rPr>
        <w:t xml:space="preserve">Aleksej Kosygin</w:t>
      </w:r>
      <w:r>
        <w:t xml:space="preserve">, nazionalizzazione dell’Iraq Petroleum Company nel giugno 1972, fronte nazionale progressista col Partito Comunista Iracheno dal luglio 1973, rottura sanguinosa fra 1978 e 1979);</w:t>
      </w:r>
      <w:r>
        <w:t xml:space="preserve"> </w:t>
      </w:r>
      <w:r>
        <w:rPr>
          <w:bCs/>
          <w:b/>
        </w:rPr>
        <w:t xml:space="preserve">MUSA AL-SADR</w:t>
      </w:r>
      <w:r>
        <w:t xml:space="preserve"> </w:t>
      </w:r>
      <w:r>
        <w:t xml:space="preserve">(Domini 5, 2; Supremo Consiglio Islamico Sciita 1969, Movimento dei diseredati 1974, milizia Amal 1974-75, riconoscimento degli alauiti come sciiti nel 1973 con statuto formale controverso, distacco dal Movimento Nazionale Libanese nel 1976, scomparso in Libia nel 1978);</w:t>
      </w:r>
      <w:r>
        <w:t xml:space="preserve"> </w:t>
      </w:r>
      <w:r>
        <w:rPr>
          <w:bCs/>
          <w:b/>
        </w:rPr>
        <w:t xml:space="preserve">MUHAMMAD BAQIR AL-SADR</w:t>
      </w:r>
      <w:r>
        <w:t xml:space="preserve"> </w:t>
      </w:r>
      <w:r>
        <w:t xml:space="preserve">(Dominio 5; «Falsafatuna» e «Iqtisaduna» come confutazioni sistematiche del marxismo, partito Da’wa a Najaf 1957-58);</w:t>
      </w:r>
      <w:r>
        <w:t xml:space="preserve"> </w:t>
      </w:r>
      <w:r>
        <w:rPr>
          <w:bCs/>
          <w:b/>
        </w:rPr>
        <w:t xml:space="preserve">MUHSIN AL-HAKIM</w:t>
      </w:r>
      <w:r>
        <w:t xml:space="preserve"> </w:t>
      </w:r>
      <w:r>
        <w:t xml:space="preserve">(Dominio 5; fatwa anticomunista datata dal Carnegie Endowment al 12 febbraio 1960);</w:t>
      </w:r>
      <w:r>
        <w:t xml:space="preserve"> </w:t>
      </w:r>
      <w:r>
        <w:rPr>
          <w:bCs/>
          <w:b/>
        </w:rPr>
        <w:t xml:space="preserve">NUREDDIN KIANURI</w:t>
      </w:r>
      <w:r>
        <w:t xml:space="preserve"> </w:t>
      </w:r>
      <w:r>
        <w:t xml:space="preserve">(Dominio 2; segretario del Tudeh, arrestato il 6 febbraio 1983, giorno stesso della messa fuori legge del partito);</w:t>
      </w:r>
      <w:r>
        <w:t xml:space="preserve"> </w:t>
      </w:r>
      <w:r>
        <w:rPr>
          <w:bCs/>
          <w:b/>
        </w:rPr>
        <w:t xml:space="preserve">AZIZ MUHAMMAD</w:t>
      </w:r>
      <w:r>
        <w:t xml:space="preserve"> </w:t>
      </w:r>
      <w:r>
        <w:t xml:space="preserve">(Dominio 2; segretario del Partito Comunista Iracheno);</w:t>
      </w:r>
      <w:r>
        <w:t xml:space="preserve"> </w:t>
      </w:r>
      <w:r>
        <w:rPr>
          <w:bCs/>
          <w:b/>
        </w:rPr>
        <w:t xml:space="preserve">PIERRE, BASHIR e AMIN GEMAYEL</w:t>
      </w:r>
      <w:r>
        <w:t xml:space="preserve">,</w:t>
      </w:r>
      <w:r>
        <w:t xml:space="preserve"> </w:t>
      </w:r>
      <w:r>
        <w:rPr>
          <w:bCs/>
          <w:b/>
        </w:rPr>
        <w:t xml:space="preserve">ETIENNE SAQR</w:t>
      </w:r>
      <w:r>
        <w:t xml:space="preserve"> </w:t>
      </w:r>
      <w:r>
        <w:t xml:space="preserve">(Domini 7, 9; fronte maronita libanese);</w:t>
      </w:r>
      <w:r>
        <w:t xml:space="preserve"> </w:t>
      </w:r>
      <w:r>
        <w:rPr>
          <w:bCs/>
          <w:b/>
        </w:rPr>
        <w:t xml:space="preserve">KAMAL JUMBLATT</w:t>
      </w:r>
      <w:r>
        <w:t xml:space="preserve"> </w:t>
      </w:r>
      <w:r>
        <w:t xml:space="preserve">(Dominio 2; Movimento Nazionale Libanese);</w:t>
      </w:r>
      <w:r>
        <w:t xml:space="preserve"> </w:t>
      </w:r>
      <w:r>
        <w:rPr>
          <w:bCs/>
          <w:b/>
        </w:rPr>
        <w:t xml:space="preserve">MUHAMMAD AL-BADR</w:t>
      </w:r>
      <w:r>
        <w:t xml:space="preserve"> </w:t>
      </w:r>
      <w:r>
        <w:t xml:space="preserve">(imam zaydita, Yemen del Nord);</w:t>
      </w:r>
      <w:r>
        <w:t xml:space="preserve"> </w:t>
      </w:r>
      <w:r>
        <w:rPr>
          <w:bCs/>
          <w:b/>
        </w:rPr>
        <w:t xml:space="preserve">ROGER FAULQUES</w:t>
      </w:r>
      <w:r>
        <w:t xml:space="preserve"> </w:t>
      </w:r>
      <w:r>
        <w:t xml:space="preserve">e</w:t>
      </w:r>
      <w:r>
        <w:t xml:space="preserve"> </w:t>
      </w:r>
      <w:r>
        <w:rPr>
          <w:bCs/>
          <w:b/>
        </w:rPr>
        <w:t xml:space="preserve">BOB DENARD</w:t>
      </w:r>
      <w:r>
        <w:t xml:space="preserve"> </w:t>
      </w:r>
      <w:r>
        <w:t xml:space="preserve">(Domini 9, 7; mercenari della matrice ex Legione e OAS a fianco dei monarchici zayditi nel 1963-64).</w:t>
      </w:r>
    </w:p>
    <w:bookmarkEnd w:id="33"/>
    <w:bookmarkStart w:id="34" w:name="nodi-del-blocco-orientale"/>
    <w:p>
      <w:pPr>
        <w:pStyle w:val="Heading3"/>
      </w:pPr>
      <w:r>
        <w:t xml:space="preserve">3.7 Nodi del blocco orientale</w:t>
      </w:r>
    </w:p>
    <w:p>
      <w:pPr>
        <w:pStyle w:val="FirstParagraph"/>
      </w:pPr>
      <w:r>
        <w:rPr>
          <w:bCs/>
          <w:b/>
        </w:rPr>
        <w:t xml:space="preserve">JURIJ ANDROPOV</w:t>
      </w:r>
      <w:r>
        <w:t xml:space="preserve"> </w:t>
      </w:r>
      <w:r>
        <w:t xml:space="preserve">e</w:t>
      </w:r>
      <w:r>
        <w:t xml:space="preserve"> </w:t>
      </w:r>
      <w:r>
        <w:rPr>
          <w:bCs/>
          <w:b/>
        </w:rPr>
        <w:t xml:space="preserve">ALEKSANDR SACHAROVSKIJ</w:t>
      </w:r>
      <w:r>
        <w:t xml:space="preserve"> </w:t>
      </w:r>
      <w:r>
        <w:t xml:space="preserve">(Dominio 3, KGB);</w:t>
      </w:r>
      <w:r>
        <w:t xml:space="preserve"> </w:t>
      </w:r>
      <w:r>
        <w:rPr>
          <w:bCs/>
          <w:b/>
        </w:rPr>
        <w:t xml:space="preserve">MARKUS WOLF</w:t>
      </w:r>
      <w:r>
        <w:t xml:space="preserve"> </w:t>
      </w:r>
      <w:r>
        <w:t xml:space="preserve">(Dominio 3, HVA);</w:t>
      </w:r>
      <w:r>
        <w:t xml:space="preserve"> </w:t>
      </w:r>
      <w:r>
        <w:rPr>
          <w:bCs/>
          <w:b/>
        </w:rPr>
        <w:t xml:space="preserve">LADISLAV BITTMAN</w:t>
      </w:r>
      <w:r>
        <w:t xml:space="preserve"> </w:t>
      </w:r>
      <w:r>
        <w:t xml:space="preserve">(Dominio 3; vice-capo del Dipartimento 8 della StB per la disinformazione, artefice dell’operazione Neptun del 1964, defezionato negli Stati Uniti dopo l’invasione della Cecoslovacchia del 1968, autore nel 1972 di «The Deception Game» e teorico del blowback della disinformazione);</w:t>
      </w:r>
      <w:r>
        <w:t xml:space="preserve"> </w:t>
      </w:r>
      <w:r>
        <w:rPr>
          <w:bCs/>
          <w:b/>
        </w:rPr>
        <w:t xml:space="preserve">ION MIHAI PACEPA</w:t>
      </w:r>
      <w:r>
        <w:t xml:space="preserve"> </w:t>
      </w:r>
      <w:r>
        <w:t xml:space="preserve">(Dominio 3, Securitate; nodo esplicitamente marcato come fonte a cautela critica rafforzata);</w:t>
      </w:r>
      <w:r>
        <w:t xml:space="preserve"> </w:t>
      </w:r>
      <w:r>
        <w:rPr>
          <w:bCs/>
          <w:b/>
        </w:rPr>
        <w:t xml:space="preserve">VASILIJ MITROKHIN</w:t>
      </w:r>
      <w:r>
        <w:t xml:space="preserve"> </w:t>
      </w:r>
      <w:r>
        <w:t xml:space="preserve">(Dominio 3; archivista defector, fondi presso il Churchill Archives Centre);</w:t>
      </w:r>
      <w:r>
        <w:t xml:space="preserve"> </w:t>
      </w:r>
      <w:r>
        <w:rPr>
          <w:bCs/>
          <w:b/>
        </w:rPr>
        <w:t xml:space="preserve">LUBOMÍR ŠTROUGAL</w:t>
      </w:r>
      <w:r>
        <w:t xml:space="preserve"> </w:t>
      </w:r>
      <w:r>
        <w:t xml:space="preserve">(Dominio 2; ministro dell’interno cecoslovacco, conferenza stampa del 15 settembre 1964 sui reperti del Lago Nero);</w:t>
      </w:r>
      <w:r>
        <w:t xml:space="preserve"> </w:t>
      </w:r>
      <w:r>
        <w:rPr>
          <w:bCs/>
          <w:b/>
        </w:rPr>
        <w:t xml:space="preserve">PETR EVSJUKOV</w:t>
      </w:r>
      <w:r>
        <w:t xml:space="preserve"> </w:t>
      </w:r>
      <w:r>
        <w:t xml:space="preserve">e</w:t>
      </w:r>
      <w:r>
        <w:t xml:space="preserve"> </w:t>
      </w:r>
      <w:r>
        <w:rPr>
          <w:bCs/>
          <w:b/>
        </w:rPr>
        <w:t xml:space="preserve">BORIS PUTILIN</w:t>
      </w:r>
      <w:r>
        <w:t xml:space="preserve"> </w:t>
      </w:r>
      <w:r>
        <w:t xml:space="preserve">(Dominio 3; i mezhdunarodniki referenti dei leader africani);</w:t>
      </w:r>
      <w:r>
        <w:t xml:space="preserve"> </w:t>
      </w:r>
      <w:r>
        <w:rPr>
          <w:bCs/>
          <w:b/>
        </w:rPr>
        <w:t xml:space="preserve">SERGEJ ANTONOV</w:t>
      </w:r>
      <w:r>
        <w:t xml:space="preserve">,</w:t>
      </w:r>
      <w:r>
        <w:t xml:space="preserve"> </w:t>
      </w:r>
      <w:r>
        <w:rPr>
          <w:bCs/>
          <w:b/>
        </w:rPr>
        <w:t xml:space="preserve">TODOR AJVAZOV</w:t>
      </w:r>
      <w:r>
        <w:t xml:space="preserve">,</w:t>
      </w:r>
      <w:r>
        <w:t xml:space="preserve"> </w:t>
      </w:r>
      <w:r>
        <w:rPr>
          <w:bCs/>
          <w:b/>
        </w:rPr>
        <w:t xml:space="preserve">JELIO VASSILEV</w:t>
      </w:r>
      <w:r>
        <w:t xml:space="preserve"> </w:t>
      </w:r>
      <w:r>
        <w:t xml:space="preserve">(Dominio 3; imputati bulgari assolti il 29 marzo 1986);</w:t>
      </w:r>
      <w:r>
        <w:t xml:space="preserve"> </w:t>
      </w:r>
      <w:r>
        <w:rPr>
          <w:bCs/>
          <w:b/>
        </w:rPr>
        <w:t xml:space="preserve">ALI AĞCA</w:t>
      </w:r>
      <w:r>
        <w:t xml:space="preserve"> </w:t>
      </w:r>
      <w:r>
        <w:t xml:space="preserve">(Dominio 7);</w:t>
      </w:r>
      <w:r>
        <w:t xml:space="preserve"> </w:t>
      </w:r>
      <w:r>
        <w:rPr>
          <w:bCs/>
          <w:b/>
        </w:rPr>
        <w:t xml:space="preserve">ODFRIED HEPP</w:t>
      </w:r>
      <w:r>
        <w:t xml:space="preserve"> </w:t>
      </w:r>
      <w:r>
        <w:t xml:space="preserve">(Dominio 7; neonazista tedesco-occidentale consegnatosi alla Stasi al valico di Friedrichstraße nel febbraio 1983, caso di contrasto documentato).</w:t>
      </w:r>
    </w:p>
    <w:bookmarkEnd w:id="34"/>
    <w:bookmarkStart w:id="35" w:name="X4edc51a9c54196f36620d657c0833e5897a1e18"/>
    <w:p>
      <w:pPr>
        <w:pStyle w:val="Heading3"/>
      </w:pPr>
      <w:r>
        <w:t xml:space="preserve">3.8 Nodi dell’Africa australe, del Cono Sud e della solidarietà</w:t>
      </w:r>
    </w:p>
    <w:p>
      <w:pPr>
        <w:pStyle w:val="FirstParagraph"/>
      </w:pPr>
      <w:r>
        <w:t xml:space="preserve">Segmento anticoloniale:</w:t>
      </w:r>
      <w:r>
        <w:t xml:space="preserve"> </w:t>
      </w:r>
      <w:r>
        <w:rPr>
          <w:bCs/>
          <w:b/>
        </w:rPr>
        <w:t xml:space="preserve">AMÍLCAR CABRAL</w:t>
      </w:r>
      <w:r>
        <w:t xml:space="preserve"> </w:t>
      </w:r>
      <w:r>
        <w:t xml:space="preserve">(PAIGC; assassinato a Conakry il 20 gennaio 1973 da rivali interni guidati da</w:t>
      </w:r>
      <w:r>
        <w:t xml:space="preserve"> </w:t>
      </w:r>
      <w:r>
        <w:rPr>
          <w:bCs/>
          <w:b/>
        </w:rPr>
        <w:t xml:space="preserve">INOCÊNCIO KANI</w:t>
      </w:r>
      <w:r>
        <w:t xml:space="preserve">, di ritorno da una cena all’ambasciata polacca);</w:t>
      </w:r>
      <w:r>
        <w:t xml:space="preserve"> </w:t>
      </w:r>
      <w:r>
        <w:rPr>
          <w:bCs/>
          <w:b/>
        </w:rPr>
        <w:t xml:space="preserve">EDUARDO MONDLANE</w:t>
      </w:r>
      <w:r>
        <w:t xml:space="preserve"> </w:t>
      </w:r>
      <w:r>
        <w:t xml:space="preserve">(FRELIMO; ucciso a Dar es Salaam il 3 febbraio 1969 da pacco-bomba occultato in un libro con francobolli sovietici);</w:t>
      </w:r>
      <w:r>
        <w:t xml:space="preserve"> </w:t>
      </w:r>
      <w:r>
        <w:rPr>
          <w:bCs/>
          <w:b/>
        </w:rPr>
        <w:t xml:space="preserve">SAMORA MACHEL</w:t>
      </w:r>
      <w:r>
        <w:t xml:space="preserve">;</w:t>
      </w:r>
      <w:r>
        <w:t xml:space="preserve"> </w:t>
      </w:r>
      <w:r>
        <w:rPr>
          <w:bCs/>
          <w:b/>
        </w:rPr>
        <w:t xml:space="preserve">AGOSTINHO NETO</w:t>
      </w:r>
      <w:r>
        <w:t xml:space="preserve"> </w:t>
      </w:r>
      <w:r>
        <w:t xml:space="preserve">(MPLA);</w:t>
      </w:r>
      <w:r>
        <w:t xml:space="preserve"> </w:t>
      </w:r>
      <w:r>
        <w:rPr>
          <w:bCs/>
          <w:b/>
        </w:rPr>
        <w:t xml:space="preserve">HOLDEN ROBERTO</w:t>
      </w:r>
      <w:r>
        <w:t xml:space="preserve"> </w:t>
      </w:r>
      <w:r>
        <w:t xml:space="preserve">(FNLA);</w:t>
      </w:r>
      <w:r>
        <w:t xml:space="preserve"> </w:t>
      </w:r>
      <w:r>
        <w:rPr>
          <w:bCs/>
          <w:b/>
        </w:rPr>
        <w:t xml:space="preserve">NELSON MANDELA</w:t>
      </w:r>
      <w:r>
        <w:t xml:space="preserve">;</w:t>
      </w:r>
      <w:r>
        <w:t xml:space="preserve"> </w:t>
      </w:r>
      <w:r>
        <w:rPr>
          <w:bCs/>
          <w:b/>
        </w:rPr>
        <w:t xml:space="preserve">OLIVER TAMBO</w:t>
      </w:r>
      <w:r>
        <w:t xml:space="preserve">;</w:t>
      </w:r>
      <w:r>
        <w:t xml:space="preserve"> </w:t>
      </w:r>
      <w:r>
        <w:rPr>
          <w:bCs/>
          <w:b/>
        </w:rPr>
        <w:t xml:space="preserve">SAM NUJOMA</w:t>
      </w:r>
      <w:r>
        <w:t xml:space="preserve"> </w:t>
      </w:r>
      <w:r>
        <w:t xml:space="preserve">(SWAPO);</w:t>
      </w:r>
      <w:r>
        <w:t xml:space="preserve"> </w:t>
      </w:r>
      <w:r>
        <w:rPr>
          <w:bCs/>
          <w:b/>
        </w:rPr>
        <w:t xml:space="preserve">MARTTI AHTISAARI</w:t>
      </w:r>
      <w:r>
        <w:t xml:space="preserve"> </w:t>
      </w:r>
      <w:r>
        <w:t xml:space="preserve">(mediatore ONU);</w:t>
      </w:r>
      <w:r>
        <w:t xml:space="preserve"> </w:t>
      </w:r>
      <w:r>
        <w:rPr>
          <w:bCs/>
          <w:b/>
        </w:rPr>
        <w:t xml:space="preserve">ABDUL MINTY</w:t>
      </w:r>
      <w:r>
        <w:t xml:space="preserve"> </w:t>
      </w:r>
      <w:r>
        <w:t xml:space="preserve">(principale accusatore internazionale delle violazioni dell’embargo);</w:t>
      </w:r>
      <w:r>
        <w:t xml:space="preserve"> </w:t>
      </w:r>
      <w:r>
        <w:rPr>
          <w:bCs/>
          <w:b/>
        </w:rPr>
        <w:t xml:space="preserve">INNOCENTE CAMIL</w:t>
      </w:r>
      <w:r>
        <w:t xml:space="preserve"> </w:t>
      </w:r>
      <w:r>
        <w:t xml:space="preserve">(comandante navale, confessione dopo fuga sventata con l’ausilio di un cacciatorpediniere sovietico).</w:t>
      </w:r>
    </w:p>
    <w:p>
      <w:pPr>
        <w:pStyle w:val="BodyText"/>
      </w:pPr>
      <w:r>
        <w:t xml:space="preserve">Segmento sudafricano:</w:t>
      </w:r>
      <w:r>
        <w:t xml:space="preserve"> </w:t>
      </w:r>
      <w:r>
        <w:rPr>
          <w:bCs/>
          <w:b/>
        </w:rPr>
        <w:t xml:space="preserve">CONNIE MULDER</w:t>
      </w:r>
      <w:r>
        <w:t xml:space="preserve"> </w:t>
      </w:r>
      <w:r>
        <w:t xml:space="preserve">ed</w:t>
      </w:r>
      <w:r>
        <w:t xml:space="preserve"> </w:t>
      </w:r>
      <w:r>
        <w:rPr>
          <w:bCs/>
          <w:b/>
        </w:rPr>
        <w:t xml:space="preserve">ESCHEL RHOODIE</w:t>
      </w:r>
      <w:r>
        <w:t xml:space="preserve"> </w:t>
      </w:r>
      <w:r>
        <w:t xml:space="preserve">(Muldergate; fuga di Rhoodie in Ecuador);</w:t>
      </w:r>
      <w:r>
        <w:t xml:space="preserve"> </w:t>
      </w:r>
      <w:r>
        <w:rPr>
          <w:bCs/>
          <w:b/>
        </w:rPr>
        <w:t xml:space="preserve">B.J. VORSTER</w:t>
      </w:r>
      <w:r>
        <w:t xml:space="preserve">;</w:t>
      </w:r>
      <w:r>
        <w:t xml:space="preserve"> </w:t>
      </w:r>
      <w:r>
        <w:rPr>
          <w:bCs/>
          <w:b/>
        </w:rPr>
        <w:t xml:space="preserve">GERALD BARRIE</w:t>
      </w:r>
      <w:r>
        <w:t xml:space="preserve"> </w:t>
      </w:r>
      <w:r>
        <w:t xml:space="preserve">(Auditor-General, rapporto trapelato del 1978);</w:t>
      </w:r>
      <w:r>
        <w:t xml:space="preserve"> </w:t>
      </w:r>
      <w:r>
        <w:rPr>
          <w:bCs/>
          <w:b/>
        </w:rPr>
        <w:t xml:space="preserve">MERVYN REES</w:t>
      </w:r>
      <w:r>
        <w:t xml:space="preserve"> </w:t>
      </w:r>
      <w:r>
        <w:t xml:space="preserve">e</w:t>
      </w:r>
      <w:r>
        <w:t xml:space="preserve"> </w:t>
      </w:r>
      <w:r>
        <w:rPr>
          <w:bCs/>
          <w:b/>
        </w:rPr>
        <w:t xml:space="preserve">CHRIS DAY</w:t>
      </w:r>
      <w:r>
        <w:t xml:space="preserve"> </w:t>
      </w:r>
      <w:r>
        <w:t xml:space="preserve">(Rand Daily Mail);</w:t>
      </w:r>
      <w:r>
        <w:t xml:space="preserve"> </w:t>
      </w:r>
      <w:r>
        <w:rPr>
          <w:bCs/>
          <w:b/>
        </w:rPr>
        <w:t xml:space="preserve">GERALD SPARROW</w:t>
      </w:r>
      <w:r>
        <w:t xml:space="preserve"> </w:t>
      </w:r>
      <w:r>
        <w:t xml:space="preserve">(Club of Ten);</w:t>
      </w:r>
      <w:r>
        <w:t xml:space="preserve"> </w:t>
      </w:r>
      <w:r>
        <w:rPr>
          <w:bCs/>
          <w:b/>
        </w:rPr>
        <w:t xml:space="preserve">P.W. BOTHA</w:t>
      </w:r>
      <w:r>
        <w:t xml:space="preserve">;</w:t>
      </w:r>
      <w:r>
        <w:t xml:space="preserve"> </w:t>
      </w:r>
      <w:r>
        <w:rPr>
          <w:bCs/>
          <w:b/>
        </w:rPr>
        <w:t xml:space="preserve">F.W. DE KLERK</w:t>
      </w:r>
      <w:r>
        <w:t xml:space="preserve">;</w:t>
      </w:r>
      <w:r>
        <w:t xml:space="preserve"> </w:t>
      </w:r>
      <w:r>
        <w:rPr>
          <w:bCs/>
          <w:b/>
        </w:rPr>
        <w:t xml:space="preserve">PIK BOTHA</w:t>
      </w:r>
      <w:r>
        <w:t xml:space="preserve">;</w:t>
      </w:r>
      <w:r>
        <w:t xml:space="preserve"> </w:t>
      </w:r>
      <w:r>
        <w:rPr>
          <w:bCs/>
          <w:b/>
        </w:rPr>
        <w:t xml:space="preserve">MAGNUS MALAN</w:t>
      </w:r>
      <w:r>
        <w:t xml:space="preserve">;</w:t>
      </w:r>
      <w:r>
        <w:t xml:space="preserve"> </w:t>
      </w:r>
      <w:r>
        <w:rPr>
          <w:bCs/>
          <w:b/>
        </w:rPr>
        <w:t xml:space="preserve">ADRIAAN VLOK</w:t>
      </w:r>
      <w:r>
        <w:t xml:space="preserve"> </w:t>
      </w:r>
      <w:r>
        <w:t xml:space="preserve">(delegazione alla FIDA di Santiago nel 1986, lettera di ringraziamento al generale</w:t>
      </w:r>
      <w:r>
        <w:t xml:space="preserve"> </w:t>
      </w:r>
      <w:r>
        <w:rPr>
          <w:bCs/>
          <w:b/>
        </w:rPr>
        <w:t xml:space="preserve">FERNANDO AUBEL</w:t>
      </w:r>
      <w:r>
        <w:t xml:space="preserve">);</w:t>
      </w:r>
      <w:r>
        <w:t xml:space="preserve"> </w:t>
      </w:r>
      <w:r>
        <w:rPr>
          <w:bCs/>
          <w:b/>
        </w:rPr>
        <w:t xml:space="preserve">JANNIE GELDENHUYS</w:t>
      </w:r>
      <w:r>
        <w:t xml:space="preserve">;</w:t>
      </w:r>
      <w:r>
        <w:t xml:space="preserve"> </w:t>
      </w:r>
      <w:r>
        <w:rPr>
          <w:bCs/>
          <w:b/>
        </w:rPr>
        <w:t xml:space="preserve">HENDRIK VAN DEN BERGH</w:t>
      </w:r>
      <w:r>
        <w:t xml:space="preserve"> </w:t>
      </w:r>
      <w:r>
        <w:t xml:space="preserve">(BOSS);</w:t>
      </w:r>
      <w:r>
        <w:t xml:space="preserve"> </w:t>
      </w:r>
      <w:r>
        <w:rPr>
          <w:bCs/>
          <w:b/>
        </w:rPr>
        <w:t xml:space="preserve">RON HAYWOOD</w:t>
      </w:r>
      <w:r>
        <w:t xml:space="preserve"> </w:t>
      </w:r>
      <w:r>
        <w:t xml:space="preserve">(ammissione del novembre 1997 sulla liquidazione delle società di facciata di Armscor);</w:t>
      </w:r>
      <w:r>
        <w:t xml:space="preserve"> </w:t>
      </w:r>
      <w:r>
        <w:rPr>
          <w:bCs/>
          <w:b/>
        </w:rPr>
        <w:t xml:space="preserve">CHRIS THIRION</w:t>
      </w:r>
      <w:r>
        <w:t xml:space="preserve"> </w:t>
      </w:r>
      <w:r>
        <w:t xml:space="preserve">(conferma dell’invio di piloti cileni come traduttori al confine namibo-angolano).</w:t>
      </w:r>
    </w:p>
    <w:p>
      <w:pPr>
        <w:pStyle w:val="BodyText"/>
      </w:pPr>
      <w:r>
        <w:t xml:space="preserve">Segmento cileno:</w:t>
      </w:r>
      <w:r>
        <w:t xml:space="preserve"> </w:t>
      </w:r>
      <w:r>
        <w:rPr>
          <w:bCs/>
          <w:b/>
        </w:rPr>
        <w:t xml:space="preserve">AUGUSTO PINOCHET</w:t>
      </w:r>
      <w:r>
        <w:t xml:space="preserve">;</w:t>
      </w:r>
      <w:r>
        <w:t xml:space="preserve"> </w:t>
      </w:r>
      <w:r>
        <w:rPr>
          <w:bCs/>
          <w:b/>
        </w:rPr>
        <w:t xml:space="preserve">JOSÉ TORIBIO MERINO</w:t>
      </w:r>
      <w:r>
        <w:t xml:space="preserve">;</w:t>
      </w:r>
      <w:r>
        <w:t xml:space="preserve"> </w:t>
      </w:r>
      <w:r>
        <w:rPr>
          <w:bCs/>
          <w:b/>
        </w:rPr>
        <w:t xml:space="preserve">FERNANDO MATTHEI</w:t>
      </w:r>
      <w:r>
        <w:t xml:space="preserve">;</w:t>
      </w:r>
      <w:r>
        <w:t xml:space="preserve"> </w:t>
      </w:r>
      <w:r>
        <w:rPr>
          <w:bCs/>
          <w:b/>
        </w:rPr>
        <w:t xml:space="preserve">RODOLFO STANGE OELCKERS</w:t>
      </w:r>
      <w:r>
        <w:t xml:space="preserve"> </w:t>
      </w:r>
      <w:r>
        <w:t xml:space="preserve">(invitato in Sudafrica da Malan a spese di Armscor nel 1986);</w:t>
      </w:r>
      <w:r>
        <w:t xml:space="preserve"> </w:t>
      </w:r>
      <w:r>
        <w:rPr>
          <w:bCs/>
          <w:b/>
        </w:rPr>
        <w:t xml:space="preserve">MANUEL CONTRERAS</w:t>
      </w:r>
      <w:r>
        <w:t xml:space="preserve"> </w:t>
      </w:r>
      <w:r>
        <w:t xml:space="preserve">(DINA);</w:t>
      </w:r>
      <w:r>
        <w:t xml:space="preserve"> </w:t>
      </w:r>
      <w:r>
        <w:rPr>
          <w:bCs/>
          <w:b/>
        </w:rPr>
        <w:t xml:space="preserve">CARLOS REMIGIO CARDOEN CORNEJO</w:t>
      </w:r>
      <w:r>
        <w:t xml:space="preserve"> </w:t>
      </w:r>
      <w:r>
        <w:t xml:space="preserve">(ingegnere metallurgico formatosi all’Università dello Utah, fabbricante d’armi di riferimento del regime, etichette «Made in Chile» su armamenti sudafricani secondo TIME 1991);</w:t>
      </w:r>
      <w:r>
        <w:t xml:space="preserve"> </w:t>
      </w:r>
      <w:r>
        <w:rPr>
          <w:bCs/>
          <w:b/>
        </w:rPr>
        <w:t xml:space="preserve">MICHAEL TOWNLEY</w:t>
      </w:r>
      <w:r>
        <w:t xml:space="preserve"> </w:t>
      </w:r>
      <w:r>
        <w:t xml:space="preserve">e</w:t>
      </w:r>
      <w:r>
        <w:t xml:space="preserve"> </w:t>
      </w:r>
      <w:r>
        <w:rPr>
          <w:bCs/>
          <w:b/>
        </w:rPr>
        <w:t xml:space="preserve">ORLANDO LETELIER</w:t>
      </w:r>
      <w:r>
        <w:t xml:space="preserve">;</w:t>
      </w:r>
      <w:r>
        <w:t xml:space="preserve"> </w:t>
      </w:r>
      <w:r>
        <w:rPr>
          <w:bCs/>
          <w:b/>
        </w:rPr>
        <w:t xml:space="preserve">PATRICIO AYLWIN</w:t>
      </w:r>
      <w:r>
        <w:t xml:space="preserve">;</w:t>
      </w:r>
      <w:r>
        <w:t xml:space="preserve"> </w:t>
      </w:r>
      <w:r>
        <w:rPr>
          <w:bCs/>
          <w:b/>
        </w:rPr>
        <w:t xml:space="preserve">EDUARDO FREI RUIZ-TAGLE</w:t>
      </w:r>
      <w:r>
        <w:t xml:space="preserve">;</w:t>
      </w:r>
      <w:r>
        <w:t xml:space="preserve"> </w:t>
      </w:r>
      <w:r>
        <w:rPr>
          <w:bCs/>
          <w:b/>
        </w:rPr>
        <w:t xml:space="preserve">JOSÉ ZALAQUETT</w:t>
      </w:r>
      <w:r>
        <w:t xml:space="preserve"> </w:t>
      </w:r>
      <w:r>
        <w:t xml:space="preserve">(trasmissione dell’esperienza Rettig alla TRC sudafricana).</w:t>
      </w:r>
    </w:p>
    <w:p>
      <w:pPr>
        <w:pStyle w:val="BodyText"/>
      </w:pPr>
      <w:r>
        <w:t xml:space="preserve">Segmento brasiliano:</w:t>
      </w:r>
      <w:r>
        <w:t xml:space="preserve"> </w:t>
      </w:r>
      <w:r>
        <w:rPr>
          <w:bCs/>
          <w:b/>
        </w:rPr>
        <w:t xml:space="preserve">ERNESTO GEISEL</w:t>
      </w:r>
      <w:r>
        <w:t xml:space="preserve">,</w:t>
      </w:r>
      <w:r>
        <w:t xml:space="preserve"> </w:t>
      </w:r>
      <w:r>
        <w:rPr>
          <w:bCs/>
          <w:b/>
        </w:rPr>
        <w:t xml:space="preserve">JOÃO FIGUEIREDO</w:t>
      </w:r>
      <w:r>
        <w:t xml:space="preserve">,</w:t>
      </w:r>
      <w:r>
        <w:t xml:space="preserve"> </w:t>
      </w:r>
      <w:r>
        <w:rPr>
          <w:bCs/>
          <w:b/>
        </w:rPr>
        <w:t xml:space="preserve">JOSÉ SARNEY</w:t>
      </w:r>
      <w:r>
        <w:t xml:space="preserve"> </w:t>
      </w:r>
      <w:r>
        <w:t xml:space="preserve">(presidenti);</w:t>
      </w:r>
      <w:r>
        <w:t xml:space="preserve"> </w:t>
      </w:r>
      <w:r>
        <w:rPr>
          <w:bCs/>
          <w:b/>
        </w:rPr>
        <w:t xml:space="preserve">AZEREDO DA SILVEIRA</w:t>
      </w:r>
      <w:r>
        <w:t xml:space="preserve"> </w:t>
      </w:r>
      <w:r>
        <w:t xml:space="preserve">(pragmatismo responsabile ed ecumenico),</w:t>
      </w:r>
      <w:r>
        <w:t xml:space="preserve"> </w:t>
      </w:r>
      <w:r>
        <w:rPr>
          <w:bCs/>
          <w:b/>
        </w:rPr>
        <w:t xml:space="preserve">RAMIRO SARAIVA GUERREIRO</w:t>
      </w:r>
      <w:r>
        <w:t xml:space="preserve">,</w:t>
      </w:r>
      <w:r>
        <w:t xml:space="preserve"> </w:t>
      </w:r>
      <w:r>
        <w:rPr>
          <w:bCs/>
          <w:b/>
        </w:rPr>
        <w:t xml:space="preserve">OLAVO SETÚBAL</w:t>
      </w:r>
      <w:r>
        <w:t xml:space="preserve"> </w:t>
      </w:r>
      <w:r>
        <w:t xml:space="preserve">(controfirmatario del Decreto 91.524),</w:t>
      </w:r>
      <w:r>
        <w:t xml:space="preserve"> </w:t>
      </w:r>
      <w:r>
        <w:rPr>
          <w:bCs/>
          <w:b/>
        </w:rPr>
        <w:t xml:space="preserve">ABREU SODRÉ</w:t>
      </w:r>
      <w:r>
        <w:t xml:space="preserve"> </w:t>
      </w:r>
      <w:r>
        <w:t xml:space="preserve">(cancellieri);</w:t>
      </w:r>
      <w:r>
        <w:t xml:space="preserve"> </w:t>
      </w:r>
      <w:r>
        <w:rPr>
          <w:bCs/>
          <w:b/>
        </w:rPr>
        <w:t xml:space="preserve">OVÍDIO DE MELO</w:t>
      </w:r>
      <w:r>
        <w:t xml:space="preserve"> </w:t>
      </w:r>
      <w:r>
        <w:t xml:space="preserve">(Angola);</w:t>
      </w:r>
      <w:r>
        <w:t xml:space="preserve"> </w:t>
      </w:r>
      <w:r>
        <w:rPr>
          <w:bCs/>
          <w:b/>
        </w:rPr>
        <w:t xml:space="preserve">ABDIAS DO NASCIMENTO</w:t>
      </w:r>
      <w:r>
        <w:t xml:space="preserve"> </w:t>
      </w:r>
      <w:r>
        <w:t xml:space="preserve">e</w:t>
      </w:r>
      <w:r>
        <w:t xml:space="preserve"> </w:t>
      </w:r>
      <w:r>
        <w:rPr>
          <w:bCs/>
          <w:b/>
        </w:rPr>
        <w:t xml:space="preserve">LÉLIA GONZALEZ</w:t>
      </w:r>
      <w:r>
        <w:t xml:space="preserve"> </w:t>
      </w:r>
      <w:r>
        <w:t xml:space="preserve">(Movimento Negro Unificado, 1978);</w:t>
      </w:r>
      <w:r>
        <w:t xml:space="preserve"> </w:t>
      </w:r>
      <w:r>
        <w:rPr>
          <w:bCs/>
          <w:b/>
        </w:rPr>
        <w:t xml:space="preserve">PÉRICLES FERREIRA GOMES</w:t>
      </w:r>
      <w:r>
        <w:t xml:space="preserve"> </w:t>
      </w:r>
      <w:r>
        <w:t xml:space="preserve">(generale, comando UNAVEM I).</w:t>
      </w:r>
    </w:p>
    <w:p>
      <w:pPr>
        <w:pStyle w:val="BodyText"/>
      </w:pPr>
      <w:r>
        <w:t xml:space="preserve">Segmento italiano della solidarietà e del whistleblowing:</w:t>
      </w:r>
      <w:r>
        <w:t xml:space="preserve"> </w:t>
      </w:r>
      <w:r>
        <w:rPr>
          <w:bCs/>
          <w:b/>
        </w:rPr>
        <w:t xml:space="preserve">GIUSEPPE SONCINI</w:t>
      </w:r>
      <w:r>
        <w:t xml:space="preserve"> </w:t>
      </w:r>
      <w:r>
        <w:t xml:space="preserve">e</w:t>
      </w:r>
      <w:r>
        <w:t xml:space="preserve"> </w:t>
      </w:r>
      <w:r>
        <w:rPr>
          <w:bCs/>
          <w:b/>
        </w:rPr>
        <w:t xml:space="preserve">BRUNA GANAPINI SONCINI</w:t>
      </w:r>
      <w:r>
        <w:t xml:space="preserve"> </w:t>
      </w:r>
      <w:r>
        <w:t xml:space="preserve">(Reggio Emilia, gemellaggio con l’ANC, navi Amanda 1980 e Rea Silvia 1984);</w:t>
      </w:r>
      <w:r>
        <w:t xml:space="preserve"> </w:t>
      </w:r>
      <w:r>
        <w:rPr>
          <w:bCs/>
          <w:b/>
        </w:rPr>
        <w:t xml:space="preserve">ELIO PAGANI</w:t>
      </w:r>
      <w:r>
        <w:t xml:space="preserve"> </w:t>
      </w:r>
      <w:r>
        <w:t xml:space="preserve">(tecnico aeronautico e sindacalista Aermacchi, denuncia su Famiglia Cristiana nel marzo 1988);</w:t>
      </w:r>
      <w:r>
        <w:t xml:space="preserve"> </w:t>
      </w:r>
      <w:r>
        <w:rPr>
          <w:bCs/>
          <w:b/>
        </w:rPr>
        <w:t xml:space="preserve">MARCO TAMBURINI</w:t>
      </w:r>
      <w:r>
        <w:t xml:space="preserve"> </w:t>
      </w:r>
      <w:r>
        <w:t xml:space="preserve">(obiettore Agusta);</w:t>
      </w:r>
      <w:r>
        <w:t xml:space="preserve"> </w:t>
      </w:r>
      <w:r>
        <w:rPr>
          <w:bCs/>
          <w:b/>
        </w:rPr>
        <w:t xml:space="preserve">BETTINO CRAXI</w:t>
      </w:r>
      <w:r>
        <w:t xml:space="preserve">,</w:t>
      </w:r>
      <w:r>
        <w:t xml:space="preserve"> </w:t>
      </w:r>
      <w:r>
        <w:rPr>
          <w:bCs/>
          <w:b/>
        </w:rPr>
        <w:t xml:space="preserve">GIULIO ANDREOTTI</w:t>
      </w:r>
      <w:r>
        <w:t xml:space="preserve">,</w:t>
      </w:r>
      <w:r>
        <w:t xml:space="preserve"> </w:t>
      </w:r>
      <w:r>
        <w:rPr>
          <w:bCs/>
          <w:b/>
        </w:rPr>
        <w:t xml:space="preserve">ARNALDO FORLANI</w:t>
      </w:r>
      <w:r>
        <w:t xml:space="preserve"> </w:t>
      </w:r>
      <w:r>
        <w:t xml:space="preserve">(vertici politici del periodo cruciale; Andreotti firmatario della relazione di accompagnamento alla legge 185 del 1990).</w:t>
      </w:r>
    </w:p>
    <w:p>
      <w:pPr>
        <w:pStyle w:val="BodyText"/>
      </w:pPr>
      <w:r>
        <w:t xml:space="preserve">Segmento macaense e asiatico:</w:t>
      </w:r>
      <w:r>
        <w:t xml:space="preserve"> </w:t>
      </w:r>
      <w:r>
        <w:rPr>
          <w:bCs/>
          <w:b/>
        </w:rPr>
        <w:t xml:space="preserve">JOSÉ MANUEL NOBRE DE CARVALHO</w:t>
      </w:r>
      <w:r>
        <w:t xml:space="preserve"> </w:t>
      </w:r>
      <w:r>
        <w:t xml:space="preserve">(governatore, capitolazione del 29 gennaio 1967);</w:t>
      </w:r>
      <w:r>
        <w:t xml:space="preserve"> </w:t>
      </w:r>
      <w:r>
        <w:rPr>
          <w:bCs/>
          <w:b/>
        </w:rPr>
        <w:t xml:space="preserve">PEDRO CORREIA DE BARROS</w:t>
      </w:r>
      <w:r>
        <w:t xml:space="preserve">;</w:t>
      </w:r>
      <w:r>
        <w:t xml:space="preserve"> </w:t>
      </w:r>
      <w:r>
        <w:rPr>
          <w:bCs/>
          <w:b/>
        </w:rPr>
        <w:t xml:space="preserve">HO YIN</w:t>
      </w:r>
      <w:r>
        <w:t xml:space="preserve"> </w:t>
      </w:r>
      <w:r>
        <w:t xml:space="preserve">(comendador, interlocutore filo-Pechino);</w:t>
      </w:r>
      <w:r>
        <w:t xml:space="preserve"> </w:t>
      </w:r>
      <w:r>
        <w:rPr>
          <w:bCs/>
          <w:b/>
        </w:rPr>
        <w:t xml:space="preserve">O CHENG-PENG</w:t>
      </w:r>
      <w:r>
        <w:t xml:space="preserve"> </w:t>
      </w:r>
      <w:r>
        <w:t xml:space="preserve">e</w:t>
      </w:r>
      <w:r>
        <w:t xml:space="preserve"> </w:t>
      </w:r>
      <w:r>
        <w:rPr>
          <w:bCs/>
          <w:b/>
        </w:rPr>
        <w:t xml:space="preserve">LIANG PEI</w:t>
      </w:r>
      <w:r>
        <w:t xml:space="preserve"> </w:t>
      </w:r>
      <w:r>
        <w:t xml:space="preserve">(quadri comunisti clandestini);</w:t>
      </w:r>
      <w:r>
        <w:t xml:space="preserve"> </w:t>
      </w:r>
      <w:r>
        <w:rPr>
          <w:bCs/>
          <w:b/>
        </w:rPr>
        <w:t xml:space="preserve">NGUYỄN CAO KỲ</w:t>
      </w:r>
      <w:r>
        <w:t xml:space="preserve">;</w:t>
      </w:r>
      <w:r>
        <w:t xml:space="preserve"> </w:t>
      </w:r>
      <w:r>
        <w:rPr>
          <w:bCs/>
          <w:b/>
        </w:rPr>
        <w:t xml:space="preserve">CHIANG KAI-SHEK</w:t>
      </w:r>
      <w:r>
        <w:t xml:space="preserve"> </w:t>
      </w:r>
      <w:r>
        <w:t xml:space="preserve">e</w:t>
      </w:r>
      <w:r>
        <w:t xml:space="preserve"> </w:t>
      </w:r>
      <w:r>
        <w:rPr>
          <w:bCs/>
          <w:b/>
        </w:rPr>
        <w:t xml:space="preserve">SYNGMAN RHEE</w:t>
      </w:r>
      <w:r>
        <w:t xml:space="preserve"> </w:t>
      </w:r>
      <w:r>
        <w:t xml:space="preserve">(cofondatori APACL 1954);</w:t>
      </w:r>
      <w:r>
        <w:t xml:space="preserve"> </w:t>
      </w:r>
      <w:r>
        <w:rPr>
          <w:bCs/>
          <w:b/>
        </w:rPr>
        <w:t xml:space="preserve">PARK CHUNG-HEE</w:t>
      </w:r>
      <w:r>
        <w:t xml:space="preserve">;</w:t>
      </w:r>
      <w:r>
        <w:t xml:space="preserve"> </w:t>
      </w:r>
      <w:r>
        <w:rPr>
          <w:bCs/>
          <w:b/>
        </w:rPr>
        <w:t xml:space="preserve">CHARLES LACHEROY</w:t>
      </w:r>
      <w:r>
        <w:t xml:space="preserve"> </w:t>
      </w:r>
      <w:r>
        <w:t xml:space="preserve">(conferenza di Bien Hoa, novembre 1952) e</w:t>
      </w:r>
      <w:r>
        <w:t xml:space="preserve"> </w:t>
      </w:r>
      <w:r>
        <w:rPr>
          <w:bCs/>
          <w:b/>
        </w:rPr>
        <w:t xml:space="preserve">ROGER TRINQUIER</w:t>
      </w:r>
      <w:r>
        <w:t xml:space="preserve"> </w:t>
      </w:r>
      <w:r>
        <w:t xml:space="preserve">(«La guerre moderne», 1961), genealoghi della guerre révolutionnaire.</w:t>
      </w:r>
    </w:p>
    <w:bookmarkEnd w:id="35"/>
    <w:bookmarkStart w:id="36" w:name="nodi-fonte-storiografici"/>
    <w:p>
      <w:pPr>
        <w:pStyle w:val="Heading3"/>
      </w:pPr>
      <w:r>
        <w:t xml:space="preserve">3.9 Nodi-fonte storiografici</w:t>
      </w:r>
    </w:p>
    <w:p>
      <w:pPr>
        <w:pStyle w:val="FirstParagraph"/>
      </w:pPr>
      <w:r>
        <w:t xml:space="preserve">Categoria introdotta per distinguere gli autori che costituiscono il fondamento probatorio del corpus dai soggetti oggetto di indagine.</w:t>
      </w:r>
      <w:r>
        <w:t xml:space="preserve"> </w:t>
      </w:r>
      <w:r>
        <w:rPr>
          <w:bCs/>
          <w:b/>
        </w:rPr>
        <w:t xml:space="preserve">Frédéric Laurent</w:t>
      </w:r>
      <w:r>
        <w:t xml:space="preserve"> </w:t>
      </w:r>
      <w:r>
        <w:t xml:space="preserve">(«L’Orchestre noir»);</w:t>
      </w:r>
      <w:r>
        <w:t xml:space="preserve"> </w:t>
      </w:r>
      <w:r>
        <w:rPr>
          <w:bCs/>
          <w:b/>
        </w:rPr>
        <w:t xml:space="preserve">Stuart Christie</w:t>
      </w:r>
      <w:r>
        <w:t xml:space="preserve"> </w:t>
      </w:r>
      <w:r>
        <w:t xml:space="preserve">(«Stefano Delle Chiaie: Portrait of a Black Terrorist»);</w:t>
      </w:r>
      <w:r>
        <w:t xml:space="preserve"> </w:t>
      </w:r>
      <w:r>
        <w:rPr>
          <w:bCs/>
          <w:b/>
        </w:rPr>
        <w:t xml:space="preserve">Aldo Giannuli</w:t>
      </w:r>
      <w:r>
        <w:t xml:space="preserve">;</w:t>
      </w:r>
      <w:r>
        <w:t xml:space="preserve"> </w:t>
      </w:r>
      <w:r>
        <w:rPr>
          <w:bCs/>
          <w:b/>
        </w:rPr>
        <w:t xml:space="preserve">Jeffrey M. Bale</w:t>
      </w:r>
      <w:r>
        <w:t xml:space="preserve"> </w:t>
      </w:r>
      <w:r>
        <w:t xml:space="preserve">(tesi dottorale di Berkeley sulla Black International e «The Darkest Sides of Politics»);</w:t>
      </w:r>
      <w:r>
        <w:t xml:space="preserve"> </w:t>
      </w:r>
      <w:r>
        <w:rPr>
          <w:bCs/>
          <w:b/>
        </w:rPr>
        <w:t xml:space="preserve">José Manuel Duarte de Jesus</w:t>
      </w:r>
      <w:r>
        <w:t xml:space="preserve"> </w:t>
      </w:r>
      <w:r>
        <w:t xml:space="preserve">(«A guerra secreta de Salazar em África. Aginter Press»);</w:t>
      </w:r>
      <w:r>
        <w:t xml:space="preserve"> </w:t>
      </w:r>
      <w:r>
        <w:rPr>
          <w:bCs/>
          <w:b/>
        </w:rPr>
        <w:t xml:space="preserve">Riccardo Marchi</w:t>
      </w:r>
      <w:r>
        <w:t xml:space="preserve">;</w:t>
      </w:r>
      <w:r>
        <w:t xml:space="preserve"> </w:t>
      </w:r>
      <w:r>
        <w:rPr>
          <w:bCs/>
          <w:b/>
        </w:rPr>
        <w:t xml:space="preserve">George Roberts</w:t>
      </w:r>
      <w:r>
        <w:t xml:space="preserve"> </w:t>
      </w:r>
      <w:r>
        <w:t xml:space="preserve">(«Revolutionary State-Making in Dar es Salaam», Cambridge University Press, 2022);</w:t>
      </w:r>
      <w:r>
        <w:t xml:space="preserve"> </w:t>
      </w:r>
      <w:r>
        <w:rPr>
          <w:bCs/>
          <w:b/>
        </w:rPr>
        <w:t xml:space="preserve">Natalia Telepneva</w:t>
      </w:r>
      <w:r>
        <w:t xml:space="preserve"> </w:t>
      </w:r>
      <w:r>
        <w:t xml:space="preserve">(«Cold War Liberation», University of North Carolina Press, 2022);</w:t>
      </w:r>
      <w:r>
        <w:t xml:space="preserve"> </w:t>
      </w:r>
      <w:r>
        <w:rPr>
          <w:bCs/>
          <w:b/>
        </w:rPr>
        <w:t xml:space="preserve">Philip Muehlenbeck</w:t>
      </w:r>
      <w:r>
        <w:t xml:space="preserve"> </w:t>
      </w:r>
      <w:r>
        <w:t xml:space="preserve">(«Czechoslovakia in Africa», 2016, con la critica di originalità mossa da</w:t>
      </w:r>
      <w:r>
        <w:t xml:space="preserve"> </w:t>
      </w:r>
      <w:r>
        <w:rPr>
          <w:bCs/>
          <w:b/>
        </w:rPr>
        <w:t xml:space="preserve">Mikuláš Pešta</w:t>
      </w:r>
      <w:r>
        <w:t xml:space="preserve"> </w:t>
      </w:r>
      <w:r>
        <w:t xml:space="preserve">nel 2024 e il rinvio ai documenti già editi da</w:t>
      </w:r>
      <w:r>
        <w:t xml:space="preserve"> </w:t>
      </w:r>
      <w:r>
        <w:rPr>
          <w:bCs/>
          <w:b/>
        </w:rPr>
        <w:t xml:space="preserve">Petr Zídek</w:t>
      </w:r>
      <w:r>
        <w:t xml:space="preserve">);</w:t>
      </w:r>
      <w:r>
        <w:t xml:space="preserve"> </w:t>
      </w:r>
      <w:r>
        <w:rPr>
          <w:bCs/>
          <w:b/>
        </w:rPr>
        <w:t xml:space="preserve">Piero Gleijeses</w:t>
      </w:r>
      <w:r>
        <w:t xml:space="preserve">;</w:t>
      </w:r>
      <w:r>
        <w:t xml:space="preserve"> </w:t>
      </w:r>
      <w:r>
        <w:rPr>
          <w:bCs/>
          <w:b/>
        </w:rPr>
        <w:t xml:space="preserve">Hennie van Vuuren</w:t>
      </w:r>
      <w:r>
        <w:t xml:space="preserve"> </w:t>
      </w:r>
      <w:r>
        <w:t xml:space="preserve">(«Apartheid Guns and Money», 2017, progetto Open Secrets, circa quarantamila documenti raccolti in sette Paesi);</w:t>
      </w:r>
      <w:r>
        <w:t xml:space="preserve"> </w:t>
      </w:r>
      <w:r>
        <w:rPr>
          <w:bCs/>
          <w:b/>
        </w:rPr>
        <w:t xml:space="preserve">Signe Landgren</w:t>
      </w:r>
      <w:r>
        <w:t xml:space="preserve"> </w:t>
      </w:r>
      <w:r>
        <w:t xml:space="preserve">(«Embargo Disimplemented», SIPRI, 1989);</w:t>
      </w:r>
      <w:r>
        <w:t xml:space="preserve"> </w:t>
      </w:r>
      <w:r>
        <w:rPr>
          <w:bCs/>
          <w:b/>
        </w:rPr>
        <w:t xml:space="preserve">Christopher Andrew</w:t>
      </w:r>
      <w:r>
        <w:t xml:space="preserve">;</w:t>
      </w:r>
      <w:r>
        <w:t xml:space="preserve"> </w:t>
      </w:r>
      <w:r>
        <w:rPr>
          <w:bCs/>
          <w:b/>
        </w:rPr>
        <w:t xml:space="preserve">Franco Ferraresi</w:t>
      </w:r>
      <w:r>
        <w:t xml:space="preserve">;</w:t>
      </w:r>
      <w:r>
        <w:t xml:space="preserve"> </w:t>
      </w:r>
      <w:r>
        <w:rPr>
          <w:bCs/>
          <w:b/>
        </w:rPr>
        <w:t xml:space="preserve">Nicola Rao</w:t>
      </w:r>
      <w:r>
        <w:t xml:space="preserve">;</w:t>
      </w:r>
      <w:r>
        <w:t xml:space="preserve"> </w:t>
      </w:r>
      <w:r>
        <w:rPr>
          <w:bCs/>
          <w:b/>
        </w:rPr>
        <w:t xml:space="preserve">Graham Macklin</w:t>
      </w:r>
      <w:r>
        <w:t xml:space="preserve">;</w:t>
      </w:r>
      <w:r>
        <w:t xml:space="preserve"> </w:t>
      </w:r>
      <w:r>
        <w:rPr>
          <w:bCs/>
          <w:b/>
        </w:rPr>
        <w:t xml:space="preserve">David Holcombe</w:t>
      </w:r>
      <w:r>
        <w:t xml:space="preserve"> </w:t>
      </w:r>
      <w:r>
        <w:t xml:space="preserve">(IERES, 2024);</w:t>
      </w:r>
      <w:r>
        <w:t xml:space="preserve"> </w:t>
      </w:r>
      <w:r>
        <w:rPr>
          <w:bCs/>
          <w:b/>
        </w:rPr>
        <w:t xml:space="preserve">Yaron Friedman</w:t>
      </w:r>
      <w:r>
        <w:t xml:space="preserve"> </w:t>
      </w:r>
      <w:r>
        <w:t xml:space="preserve">(British Journal of Middle Eastern Studies, 2024, tesi della missing fatwa);</w:t>
      </w:r>
      <w:r>
        <w:t xml:space="preserve"> </w:t>
      </w:r>
      <w:r>
        <w:rPr>
          <w:bCs/>
          <w:b/>
        </w:rPr>
        <w:t xml:space="preserve">Claire Sterling</w:t>
      </w:r>
      <w:r>
        <w:t xml:space="preserve"> </w:t>
      </w:r>
      <w:r>
        <w:t xml:space="preserve">(nodo a cautela critica: la tesi del terrorismo teleguidato da Mosca fu ridimensionata dal cosiddetto rapporto Cowey della CIA);</w:t>
      </w:r>
      <w:r>
        <w:t xml:space="preserve"> </w:t>
      </w:r>
      <w:r>
        <w:rPr>
          <w:bCs/>
          <w:b/>
        </w:rPr>
        <w:t xml:space="preserve">Moisés Silva Fernandes</w:t>
      </w:r>
      <w:r>
        <w:t xml:space="preserve"> </w:t>
      </w:r>
      <w:r>
        <w:t xml:space="preserve">e</w:t>
      </w:r>
      <w:r>
        <w:t xml:space="preserve"> </w:t>
      </w:r>
      <w:r>
        <w:rPr>
          <w:bCs/>
          <w:b/>
        </w:rPr>
        <w:t xml:space="preserve">Cathryn Clayton</w:t>
      </w:r>
      <w:r>
        <w:t xml:space="preserve"> </w:t>
      </w:r>
      <w:r>
        <w:t xml:space="preserve">(Macao);</w:t>
      </w:r>
      <w:r>
        <w:t xml:space="preserve"> </w:t>
      </w:r>
      <w:r>
        <w:rPr>
          <w:bCs/>
          <w:b/>
        </w:rPr>
        <w:t xml:space="preserve">Joseph Trento</w:t>
      </w:r>
      <w:r>
        <w:t xml:space="preserve"> </w:t>
      </w:r>
      <w:r>
        <w:t xml:space="preserve">(congetture sulla rete BOSS-DINA, Livello C);</w:t>
      </w:r>
      <w:r>
        <w:t xml:space="preserve"> </w:t>
      </w:r>
      <w:r>
        <w:rPr>
          <w:bCs/>
          <w:b/>
        </w:rPr>
        <w:t xml:space="preserve">Ilario Martella</w:t>
      </w:r>
      <w:r>
        <w:t xml:space="preserve"> </w:t>
      </w:r>
      <w:r>
        <w:t xml:space="preserve">e</w:t>
      </w:r>
      <w:r>
        <w:t xml:space="preserve"> </w:t>
      </w:r>
      <w:r>
        <w:rPr>
          <w:bCs/>
          <w:b/>
        </w:rPr>
        <w:t xml:space="preserve">Paolo Guzzanti</w:t>
      </w:r>
      <w:r>
        <w:t xml:space="preserve"> </w:t>
      </w:r>
      <w:r>
        <w:t xml:space="preserve">(versante istituzionale della pista bulgara);</w:t>
      </w:r>
      <w:r>
        <w:t xml:space="preserve"> </w:t>
      </w:r>
      <w:r>
        <w:rPr>
          <w:bCs/>
          <w:b/>
        </w:rPr>
        <w:t xml:space="preserve">Cataldo Sgarangella</w:t>
      </w:r>
      <w:r>
        <w:t xml:space="preserve"> </w:t>
      </w:r>
      <w:r>
        <w:t xml:space="preserve">(Guardia di finanza, quantificazione dei flussi bolognesi).</w:t>
      </w:r>
    </w:p>
    <w:p>
      <w:r>
        <w:pict>
          <v:rect style="width:0;height:1.5pt" o:hralign="center" o:hrstd="t" o:hr="t"/>
        </w:pict>
      </w:r>
    </w:p>
    <w:bookmarkEnd w:id="36"/>
    <w:bookmarkEnd w:id="37"/>
    <w:bookmarkStart w:id="45" w:name="Xa37ec8d4f70d100770d373a45563a96bb465679"/>
    <w:p>
      <w:pPr>
        <w:pStyle w:val="Heading2"/>
      </w:pPr>
      <w:r>
        <w:t xml:space="preserve">PARTE QUARTA — CATALOGO DEI NODI-ORGANIZZAZIONE (MODALITÀ 2)</w:t>
      </w:r>
    </w:p>
    <w:bookmarkStart w:id="38" w:name="dominio-3-intelligence-e-servizi-segreti"/>
    <w:p>
      <w:pPr>
        <w:pStyle w:val="Heading3"/>
      </w:pPr>
      <w:r>
        <w:t xml:space="preserve">4.1 Dominio 3 — Intelligence e servizi segreti</w:t>
      </w:r>
    </w:p>
    <w:p>
      <w:pPr>
        <w:pStyle w:val="FirstParagraph"/>
      </w:pPr>
      <w:r>
        <w:rPr>
          <w:bCs/>
          <w:b/>
        </w:rPr>
        <w:t xml:space="preserve">AGINTER PRESS / ORDRE ET TRADITION</w:t>
      </w:r>
      <w:r>
        <w:t xml:space="preserve">. Nodo-organizzazione centrale del corpus. Fondata a Lisbona nel settembre 1966, sede in rua das Pracas 13, cessata con la Rivoluzione dei Garofani dell’aprile 1974, ricostituita informalmente come gruppo di Madrid fino alla dispersione del 1977. Quattro funzioni codificate dal rapporto del servizio portoghese SDCI successivo al 1974: spionaggio, addestramento alla contro-sovversione, reclutamento, propaganda. Finanziamento da PIDE e ministeri portoghesi. Composizione del personale quantificata da Christie: circa il sessanta per cento reclutato fra i ranghi dell’OAS, il resto da organizzazioni neonaziste dell’Europa occidentale come il Kampfbund Deutscher Soldaten di Francoforte. Riunioni fondative del gennaio e dell’aprile 1967 presso Ordre et Tradition per la costituzione di una rete mondiale di corrispondenti con rappresentanti neofascisti europei e sudamericani. Committenza descritta nella citazione riportata da Christie come ufficio di spionaggio gestito dalla polizia segreta portoghese e, attraverso di essa, dalla CIA, dal BND o Organizzazione Gehlen, dalla Dirección General de Seguridad spagnola, dal BOSS sudafricano e più tardi dal KYP greco: elenco di committenti interamente occidentali in cui non compare alcun servizio asiatico né orientale. Archivio sequestrato nel 1974, fotografato dai giornalisti de L’Europeo, oggi nel fondo PIDE/DGS presso l’Arquivo Nacional Torre do Tombo. Geografia operativa convergente in tutte le enumerazioni indipendenti: Europa, Africa, America del Nord, America Latina. Livello A.</w:t>
      </w:r>
    </w:p>
    <w:p>
      <w:pPr>
        <w:pStyle w:val="BodyText"/>
      </w:pPr>
      <w:r>
        <w:rPr>
          <w:bCs/>
          <w:b/>
        </w:rPr>
        <w:t xml:space="preserve">PIDE / DGS</w:t>
      </w:r>
      <w:r>
        <w:t xml:space="preserve">. Polizia politica dell’Estado Novo, apparato committente e finanziatore. Livello A.</w:t>
      </w:r>
      <w:r>
        <w:t xml:space="preserve"> </w:t>
      </w:r>
      <w:r>
        <w:rPr>
          <w:bCs/>
          <w:b/>
        </w:rPr>
        <w:t xml:space="preserve">SDCI</w:t>
      </w:r>
      <w:r>
        <w:t xml:space="preserve"> </w:t>
      </w:r>
      <w:r>
        <w:t xml:space="preserve">portoghese, autore del rapporto ricostruttivo post-1974.</w:t>
      </w:r>
      <w:r>
        <w:t xml:space="preserve"> </w:t>
      </w:r>
      <w:r>
        <w:rPr>
          <w:bCs/>
          <w:b/>
        </w:rPr>
        <w:t xml:space="preserve">SID / SDCI italiano</w:t>
      </w:r>
      <w:r>
        <w:t xml:space="preserve">, fonte della documentazione ripresa da Frédéric Laurent e origine delle attribuzioni occidentali degli omicidi africani. Livello B.</w:t>
      </w:r>
    </w:p>
    <w:p>
      <w:pPr>
        <w:pStyle w:val="BodyText"/>
      </w:pPr>
      <w:r>
        <w:t xml:space="preserve">Servizi occidentali del perimetro:</w:t>
      </w:r>
      <w:r>
        <w:t xml:space="preserve"> </w:t>
      </w:r>
      <w:r>
        <w:rPr>
          <w:bCs/>
          <w:b/>
        </w:rPr>
        <w:t xml:space="preserve">CIA</w:t>
      </w:r>
      <w:r>
        <w:t xml:space="preserve"> </w:t>
      </w:r>
      <w:r>
        <w:t xml:space="preserve">(con l’operazione Chaos, attiva dal 1966 per l’infiltrazione della sinistra extraparlamentare in Italia, Francia, Gran Bretagna, Spagna e Germania Federale: convergenza cronologica e funzionale con Aginter rilevata dalla storiografia francese, Livello B);</w:t>
      </w:r>
      <w:r>
        <w:t xml:space="preserve"> </w:t>
      </w:r>
      <w:r>
        <w:rPr>
          <w:bCs/>
          <w:b/>
        </w:rPr>
        <w:t xml:space="preserve">BND / Organizzazione Gehlen</w:t>
      </w:r>
      <w:r>
        <w:t xml:space="preserve">;</w:t>
      </w:r>
      <w:r>
        <w:t xml:space="preserve"> </w:t>
      </w:r>
      <w:r>
        <w:rPr>
          <w:bCs/>
          <w:b/>
        </w:rPr>
        <w:t xml:space="preserve">Dirección General de Seguridad</w:t>
      </w:r>
      <w:r>
        <w:t xml:space="preserve">;</w:t>
      </w:r>
      <w:r>
        <w:t xml:space="preserve"> </w:t>
      </w:r>
      <w:r>
        <w:rPr>
          <w:bCs/>
          <w:b/>
        </w:rPr>
        <w:t xml:space="preserve">BOSS</w:t>
      </w:r>
      <w:r>
        <w:t xml:space="preserve"> </w:t>
      </w:r>
      <w:r>
        <w:t xml:space="preserve">e successivi</w:t>
      </w:r>
      <w:r>
        <w:t xml:space="preserve"> </w:t>
      </w:r>
      <w:r>
        <w:rPr>
          <w:bCs/>
          <w:b/>
        </w:rPr>
        <w:t xml:space="preserve">NIS</w:t>
      </w:r>
      <w:r>
        <w:t xml:space="preserve"> </w:t>
      </w:r>
      <w:r>
        <w:t xml:space="preserve">e</w:t>
      </w:r>
      <w:r>
        <w:t xml:space="preserve"> </w:t>
      </w:r>
      <w:r>
        <w:rPr>
          <w:bCs/>
          <w:b/>
        </w:rPr>
        <w:t xml:space="preserve">DMI</w:t>
      </w:r>
      <w:r>
        <w:t xml:space="preserve"> </w:t>
      </w:r>
      <w:r>
        <w:t xml:space="preserve">sudafricani;</w:t>
      </w:r>
      <w:r>
        <w:t xml:space="preserve"> </w:t>
      </w:r>
      <w:r>
        <w:rPr>
          <w:bCs/>
          <w:b/>
        </w:rPr>
        <w:t xml:space="preserve">KYP</w:t>
      </w:r>
      <w:r>
        <w:t xml:space="preserve"> </w:t>
      </w:r>
      <w:r>
        <w:t xml:space="preserve">greca;</w:t>
      </w:r>
      <w:r>
        <w:t xml:space="preserve"> </w:t>
      </w:r>
      <w:r>
        <w:rPr>
          <w:bCs/>
          <w:b/>
        </w:rPr>
        <w:t xml:space="preserve">MI6</w:t>
      </w:r>
      <w:r>
        <w:t xml:space="preserve">;</w:t>
      </w:r>
      <w:r>
        <w:t xml:space="preserve"> </w:t>
      </w:r>
      <w:r>
        <w:rPr>
          <w:bCs/>
          <w:b/>
        </w:rPr>
        <w:t xml:space="preserve">Mossad</w:t>
      </w:r>
      <w:r>
        <w:t xml:space="preserve">;</w:t>
      </w:r>
      <w:r>
        <w:t xml:space="preserve"> </w:t>
      </w:r>
      <w:r>
        <w:rPr>
          <w:bCs/>
          <w:b/>
        </w:rPr>
        <w:t xml:space="preserve">SAVAK</w:t>
      </w:r>
      <w:r>
        <w:t xml:space="preserve"> </w:t>
      </w:r>
      <w:r>
        <w:t xml:space="preserve">iraniana (con documentata cooperazione con l’Information Research Department britannico fra il 1956 e il 1968, ma nessun contatto con Aginter);</w:t>
      </w:r>
      <w:r>
        <w:t xml:space="preserve"> </w:t>
      </w:r>
      <w:r>
        <w:rPr>
          <w:bCs/>
          <w:b/>
        </w:rPr>
        <w:t xml:space="preserve">KCIA</w:t>
      </w:r>
      <w:r>
        <w:t xml:space="preserve">;</w:t>
      </w:r>
      <w:r>
        <w:t xml:space="preserve"> </w:t>
      </w:r>
      <w:r>
        <w:rPr>
          <w:bCs/>
          <w:b/>
        </w:rPr>
        <w:t xml:space="preserve">DINA</w:t>
      </w:r>
      <w:r>
        <w:t xml:space="preserve"> </w:t>
      </w:r>
      <w:r>
        <w:t xml:space="preserve">cilena;</w:t>
      </w:r>
      <w:r>
        <w:t xml:space="preserve"> </w:t>
      </w:r>
      <w:r>
        <w:rPr>
          <w:bCs/>
          <w:b/>
        </w:rPr>
        <w:t xml:space="preserve">SNI</w:t>
      </w:r>
      <w:r>
        <w:t xml:space="preserve">,</w:t>
      </w:r>
      <w:r>
        <w:t xml:space="preserve"> </w:t>
      </w:r>
      <w:r>
        <w:rPr>
          <w:bCs/>
          <w:b/>
        </w:rPr>
        <w:t xml:space="preserve">CIE</w:t>
      </w:r>
      <w:r>
        <w:t xml:space="preserve"> </w:t>
      </w:r>
      <w:r>
        <w:t xml:space="preserve">e</w:t>
      </w:r>
      <w:r>
        <w:t xml:space="preserve"> </w:t>
      </w:r>
      <w:r>
        <w:rPr>
          <w:bCs/>
          <w:b/>
        </w:rPr>
        <w:t xml:space="preserve">CISA</w:t>
      </w:r>
      <w:r>
        <w:t xml:space="preserve"> </w:t>
      </w:r>
      <w:r>
        <w:t xml:space="preserve">brasiliani;</w:t>
      </w:r>
      <w:r>
        <w:t xml:space="preserve"> </w:t>
      </w:r>
      <w:r>
        <w:rPr>
          <w:bCs/>
          <w:b/>
        </w:rPr>
        <w:t xml:space="preserve">Paladin Group</w:t>
      </w:r>
      <w:r>
        <w:t xml:space="preserve">;</w:t>
      </w:r>
      <w:r>
        <w:t xml:space="preserve"> </w:t>
      </w:r>
      <w:r>
        <w:rPr>
          <w:bCs/>
          <w:b/>
        </w:rPr>
        <w:t xml:space="preserve">Gladio</w:t>
      </w:r>
      <w:r>
        <w:t xml:space="preserve"> </w:t>
      </w:r>
      <w:r>
        <w:t xml:space="preserve">e reti stay-behind;</w:t>
      </w:r>
      <w:r>
        <w:t xml:space="preserve"> </w:t>
      </w:r>
      <w:r>
        <w:rPr>
          <w:bCs/>
          <w:b/>
        </w:rPr>
        <w:t xml:space="preserve">Anello</w:t>
      </w:r>
      <w:r>
        <w:t xml:space="preserve">.</w:t>
      </w:r>
    </w:p>
    <w:p>
      <w:pPr>
        <w:pStyle w:val="BodyText"/>
      </w:pPr>
      <w:r>
        <w:t xml:space="preserve">Servizi del blocco orientale:</w:t>
      </w:r>
      <w:r>
        <w:t xml:space="preserve"> </w:t>
      </w:r>
      <w:r>
        <w:rPr>
          <w:bCs/>
          <w:b/>
        </w:rPr>
        <w:t xml:space="preserve">KGB</w:t>
      </w:r>
      <w:r>
        <w:t xml:space="preserve"> </w:t>
      </w:r>
      <w:r>
        <w:t xml:space="preserve">(Prima Direzione Centrale; Dipartimento A per le misure attive);</w:t>
      </w:r>
      <w:r>
        <w:t xml:space="preserve"> </w:t>
      </w:r>
      <w:r>
        <w:rPr>
          <w:bCs/>
          <w:b/>
        </w:rPr>
        <w:t xml:space="preserve">GRU</w:t>
      </w:r>
      <w:r>
        <w:t xml:space="preserve">;</w:t>
      </w:r>
      <w:r>
        <w:t xml:space="preserve"> </w:t>
      </w:r>
      <w:r>
        <w:rPr>
          <w:bCs/>
          <w:b/>
        </w:rPr>
        <w:t xml:space="preserve">StB</w:t>
      </w:r>
      <w:r>
        <w:t xml:space="preserve"> </w:t>
      </w:r>
      <w:r>
        <w:t xml:space="preserve">cecoslovacca (Dipartimento 8 per la disinformazione; trentuno corsi di addestramento per personale d’intelligence africano fra il 1959 e il 1968, con allievi da undici Paesi; tredici consulenti permanenti presso Guinea, Mali, Congo-Brazzaville e PAIGC; quarantuno avamposti in trentanove Paesi africani nel 1968);</w:t>
      </w:r>
      <w:r>
        <w:t xml:space="preserve"> </w:t>
      </w:r>
      <w:r>
        <w:rPr>
          <w:bCs/>
          <w:b/>
        </w:rPr>
        <w:t xml:space="preserve">Stasi / HVA</w:t>
      </w:r>
      <w:r>
        <w:t xml:space="preserve">;</w:t>
      </w:r>
      <w:r>
        <w:t xml:space="preserve"> </w:t>
      </w:r>
      <w:r>
        <w:rPr>
          <w:bCs/>
          <w:b/>
        </w:rPr>
        <w:t xml:space="preserve">Securitate</w:t>
      </w:r>
      <w:r>
        <w:t xml:space="preserve">;</w:t>
      </w:r>
      <w:r>
        <w:t xml:space="preserve"> </w:t>
      </w:r>
      <w:r>
        <w:rPr>
          <w:bCs/>
          <w:b/>
        </w:rPr>
        <w:t xml:space="preserve">Darzhavna Sigurnost</w:t>
      </w:r>
      <w:r>
        <w:t xml:space="preserve"> </w:t>
      </w:r>
      <w:r>
        <w:t xml:space="preserve">bulgara;</w:t>
      </w:r>
      <w:r>
        <w:t xml:space="preserve"> </w:t>
      </w:r>
      <w:r>
        <w:rPr>
          <w:bCs/>
          <w:b/>
        </w:rPr>
        <w:t xml:space="preserve">SB</w:t>
      </w:r>
      <w:r>
        <w:t xml:space="preserve"> </w:t>
      </w:r>
      <w:r>
        <w:t xml:space="preserve">polacca;</w:t>
      </w:r>
      <w:r>
        <w:t xml:space="preserve"> </w:t>
      </w:r>
      <w:r>
        <w:rPr>
          <w:bCs/>
          <w:b/>
        </w:rPr>
        <w:t xml:space="preserve">AVH</w:t>
      </w:r>
      <w:r>
        <w:t xml:space="preserve"> </w:t>
      </w:r>
      <w:r>
        <w:t xml:space="preserve">e servizi ungheresi;</w:t>
      </w:r>
      <w:r>
        <w:t xml:space="preserve"> </w:t>
      </w:r>
      <w:r>
        <w:rPr>
          <w:bCs/>
          <w:b/>
        </w:rPr>
        <w:t xml:space="preserve">DGI</w:t>
      </w:r>
      <w:r>
        <w:t xml:space="preserve"> </w:t>
      </w:r>
      <w:r>
        <w:t xml:space="preserve">cubana come servizio associato.</w:t>
      </w:r>
    </w:p>
    <w:bookmarkEnd w:id="38"/>
    <w:bookmarkStart w:id="39" w:name="dominio-7-terrorismo-e-violenza-politica"/>
    <w:p>
      <w:pPr>
        <w:pStyle w:val="Heading3"/>
      </w:pPr>
      <w:r>
        <w:t xml:space="preserve">4.2 Dominio 7 — Terrorismo e violenza politica</w:t>
      </w:r>
    </w:p>
    <w:p>
      <w:pPr>
        <w:pStyle w:val="FirstParagraph"/>
      </w:pPr>
      <w:r>
        <w:t xml:space="preserve">Segmento francese e delle origini:</w:t>
      </w:r>
      <w:r>
        <w:t xml:space="preserve"> </w:t>
      </w:r>
      <w:r>
        <w:rPr>
          <w:bCs/>
          <w:b/>
        </w:rPr>
        <w:t xml:space="preserve">OAS</w:t>
      </w:r>
      <w:r>
        <w:t xml:space="preserve">;</w:t>
      </w:r>
      <w:r>
        <w:t xml:space="preserve"> </w:t>
      </w:r>
      <w:r>
        <w:rPr>
          <w:bCs/>
          <w:b/>
        </w:rPr>
        <w:t xml:space="preserve">11e Choc</w:t>
      </w:r>
      <w:r>
        <w:t xml:space="preserve"> </w:t>
      </w:r>
      <w:r>
        <w:t xml:space="preserve">e orbita SDECE;</w:t>
      </w:r>
      <w:r>
        <w:t xml:space="preserve"> </w:t>
      </w:r>
      <w:r>
        <w:rPr>
          <w:bCs/>
          <w:b/>
        </w:rPr>
        <w:t xml:space="preserve">Groupes nationalistes révolutionnaires</w:t>
      </w:r>
      <w:r>
        <w:t xml:space="preserve">;</w:t>
      </w:r>
      <w:r>
        <w:t xml:space="preserve"> </w:t>
      </w:r>
      <w:r>
        <w:rPr>
          <w:bCs/>
          <w:b/>
        </w:rPr>
        <w:t xml:space="preserve">Mouvement nationaliste révolutionnaire</w:t>
      </w:r>
      <w:r>
        <w:t xml:space="preserve"> </w:t>
      </w:r>
      <w:r>
        <w:t xml:space="preserve">(11 febbraio 1979);</w:t>
      </w:r>
      <w:r>
        <w:t xml:space="preserve"> </w:t>
      </w:r>
      <w:r>
        <w:rPr>
          <w:bCs/>
          <w:b/>
        </w:rPr>
        <w:t xml:space="preserve">Troisième Voie</w:t>
      </w:r>
      <w:r>
        <w:t xml:space="preserve"> </w:t>
      </w:r>
      <w:r>
        <w:t xml:space="preserve">(1985);</w:t>
      </w:r>
      <w:r>
        <w:t xml:space="preserve"> </w:t>
      </w:r>
      <w:r>
        <w:rPr>
          <w:bCs/>
          <w:b/>
        </w:rPr>
        <w:t xml:space="preserve">Nouvelle Résistance</w:t>
      </w:r>
      <w:r>
        <w:t xml:space="preserve"> </w:t>
      </w:r>
      <w:r>
        <w:t xml:space="preserve">(1991);</w:t>
      </w:r>
      <w:r>
        <w:t xml:space="preserve"> </w:t>
      </w:r>
      <w:r>
        <w:rPr>
          <w:bCs/>
          <w:b/>
        </w:rPr>
        <w:t xml:space="preserve">Unité Radicale</w:t>
      </w:r>
      <w:r>
        <w:t xml:space="preserve">;</w:t>
      </w:r>
      <w:r>
        <w:t xml:space="preserve"> </w:t>
      </w:r>
      <w:r>
        <w:rPr>
          <w:bCs/>
          <w:b/>
        </w:rPr>
        <w:t xml:space="preserve">Jeune Europe</w:t>
      </w:r>
      <w:r>
        <w:t xml:space="preserve"> </w:t>
      </w:r>
      <w:r>
        <w:t xml:space="preserve">(1962-1969) con le controparti italiane</w:t>
      </w:r>
      <w:r>
        <w:t xml:space="preserve"> </w:t>
      </w:r>
      <w:r>
        <w:rPr>
          <w:bCs/>
          <w:b/>
        </w:rPr>
        <w:t xml:space="preserve">Europa Combattente</w:t>
      </w:r>
      <w:r>
        <w:t xml:space="preserve"> </w:t>
      </w:r>
      <w:r>
        <w:t xml:space="preserve">e</w:t>
      </w:r>
      <w:r>
        <w:t xml:space="preserve"> </w:t>
      </w:r>
      <w:r>
        <w:rPr>
          <w:bCs/>
          <w:b/>
        </w:rPr>
        <w:t xml:space="preserve">La Nazione Europea</w:t>
      </w:r>
      <w:r>
        <w:t xml:space="preserve">.</w:t>
      </w:r>
    </w:p>
    <w:p>
      <w:pPr>
        <w:pStyle w:val="BodyText"/>
      </w:pPr>
      <w:r>
        <w:t xml:space="preserve">Segmento italiano:</w:t>
      </w:r>
      <w:r>
        <w:t xml:space="preserve"> </w:t>
      </w:r>
      <w:r>
        <w:rPr>
          <w:bCs/>
          <w:b/>
        </w:rPr>
        <w:t xml:space="preserve">Ordine Nuovo</w:t>
      </w:r>
      <w:r>
        <w:t xml:space="preserve">;</w:t>
      </w:r>
      <w:r>
        <w:t xml:space="preserve"> </w:t>
      </w:r>
      <w:r>
        <w:rPr>
          <w:bCs/>
          <w:b/>
        </w:rPr>
        <w:t xml:space="preserve">Avanguardia Nazionale</w:t>
      </w:r>
      <w:r>
        <w:t xml:space="preserve">;</w:t>
      </w:r>
      <w:r>
        <w:t xml:space="preserve"> </w:t>
      </w:r>
      <w:r>
        <w:rPr>
          <w:bCs/>
          <w:b/>
        </w:rPr>
        <w:t xml:space="preserve">Nuclei Armati Rivoluzionari</w:t>
      </w:r>
      <w:r>
        <w:t xml:space="preserve">;</w:t>
      </w:r>
      <w:r>
        <w:t xml:space="preserve"> </w:t>
      </w:r>
      <w:r>
        <w:rPr>
          <w:bCs/>
          <w:b/>
        </w:rPr>
        <w:t xml:space="preserve">Lotta Studentesca</w:t>
      </w:r>
      <w:r>
        <w:t xml:space="preserve"> </w:t>
      </w:r>
      <w:r>
        <w:t xml:space="preserve">(1976);</w:t>
      </w:r>
      <w:r>
        <w:t xml:space="preserve"> </w:t>
      </w:r>
      <w:r>
        <w:rPr>
          <w:bCs/>
          <w:b/>
        </w:rPr>
        <w:t xml:space="preserve">Terza Posizione</w:t>
      </w:r>
      <w:r>
        <w:t xml:space="preserve"> </w:t>
      </w:r>
      <w:r>
        <w:t xml:space="preserve">(1978-1982), con struttura tripartita in Cuib, Nucleo Operativo e Legione, simbologia della runa Wolfsangel, insediamento romano ed estensione a Marche, Sicilia, Veneto e Umbria, parola d’ordine «né col fronte rosso né con la reazione»;</w:t>
      </w:r>
      <w:r>
        <w:t xml:space="preserve"> </w:t>
      </w:r>
      <w:r>
        <w:rPr>
          <w:bCs/>
          <w:b/>
        </w:rPr>
        <w:t xml:space="preserve">Lotta di Popolo</w:t>
      </w:r>
      <w:r>
        <w:t xml:space="preserve">.</w:t>
      </w:r>
    </w:p>
    <w:p>
      <w:pPr>
        <w:pStyle w:val="BodyText"/>
      </w:pPr>
      <w:r>
        <w:t xml:space="preserve">Segmento internazionale:</w:t>
      </w:r>
      <w:r>
        <w:t xml:space="preserve"> </w:t>
      </w:r>
      <w:r>
        <w:rPr>
          <w:bCs/>
          <w:b/>
        </w:rPr>
        <w:t xml:space="preserve">National Front</w:t>
      </w:r>
      <w:r>
        <w:t xml:space="preserve"> </w:t>
      </w:r>
      <w:r>
        <w:t xml:space="preserve">britannico e corrente dei</w:t>
      </w:r>
      <w:r>
        <w:t xml:space="preserve"> </w:t>
      </w:r>
      <w:r>
        <w:rPr>
          <w:bCs/>
          <w:b/>
        </w:rPr>
        <w:t xml:space="preserve">Political Soldiers</w:t>
      </w:r>
      <w:r>
        <w:t xml:space="preserve">;</w:t>
      </w:r>
      <w:r>
        <w:t xml:space="preserve"> </w:t>
      </w:r>
      <w:r>
        <w:rPr>
          <w:bCs/>
          <w:b/>
        </w:rPr>
        <w:t xml:space="preserve">International Third Position</w:t>
      </w:r>
      <w:r>
        <w:t xml:space="preserve"> </w:t>
      </w:r>
      <w:r>
        <w:t xml:space="preserve">(1989);</w:t>
      </w:r>
      <w:r>
        <w:t xml:space="preserve"> </w:t>
      </w:r>
      <w:r>
        <w:rPr>
          <w:bCs/>
          <w:b/>
        </w:rPr>
        <w:t xml:space="preserve">Narodowe Odrodzenie Polski</w:t>
      </w:r>
      <w:r>
        <w:t xml:space="preserve">;</w:t>
      </w:r>
      <w:r>
        <w:t xml:space="preserve"> </w:t>
      </w:r>
      <w:r>
        <w:rPr>
          <w:bCs/>
          <w:b/>
        </w:rPr>
        <w:t xml:space="preserve">Noua Dreaptă</w:t>
      </w:r>
      <w:r>
        <w:t xml:space="preserve">;</w:t>
      </w:r>
      <w:r>
        <w:t xml:space="preserve"> </w:t>
      </w:r>
      <w:r>
        <w:rPr>
          <w:bCs/>
          <w:b/>
        </w:rPr>
        <w:t xml:space="preserve">Der III. Weg</w:t>
      </w:r>
      <w:r>
        <w:t xml:space="preserve"> </w:t>
      </w:r>
      <w:r>
        <w:t xml:space="preserve">(fondato il 28 settembre 2013 a Heidelberg da ex quadri NPD e attivisti del disciolto Freies Netz Süd, settecento membri nel 2022 secondo il rapporto federale tedesco per la tutela della Costituzione);</w:t>
      </w:r>
      <w:r>
        <w:t xml:space="preserve"> </w:t>
      </w:r>
      <w:r>
        <w:rPr>
          <w:bCs/>
          <w:b/>
        </w:rPr>
        <w:t xml:space="preserve">National Revolutionary Faction</w:t>
      </w:r>
      <w:r>
        <w:t xml:space="preserve"> </w:t>
      </w:r>
      <w:r>
        <w:t xml:space="preserve">(1996);</w:t>
      </w:r>
      <w:r>
        <w:t xml:space="preserve"> </w:t>
      </w:r>
      <w:r>
        <w:rPr>
          <w:bCs/>
          <w:b/>
        </w:rPr>
        <w:t xml:space="preserve">American Third Position</w:t>
      </w:r>
      <w:r>
        <w:t xml:space="preserve"> </w:t>
      </w:r>
      <w:r>
        <w:t xml:space="preserve">poi</w:t>
      </w:r>
      <w:r>
        <w:t xml:space="preserve"> </w:t>
      </w:r>
      <w:r>
        <w:rPr>
          <w:bCs/>
          <w:b/>
        </w:rPr>
        <w:t xml:space="preserve">American Freedom Party</w:t>
      </w:r>
      <w:r>
        <w:t xml:space="preserve">;</w:t>
      </w:r>
      <w:r>
        <w:t xml:space="preserve"> </w:t>
      </w:r>
      <w:r>
        <w:rPr>
          <w:bCs/>
          <w:b/>
        </w:rPr>
        <w:t xml:space="preserve">Traditionalist Worker Party</w:t>
      </w:r>
      <w:r>
        <w:t xml:space="preserve">;</w:t>
      </w:r>
      <w:r>
        <w:t xml:space="preserve"> </w:t>
      </w:r>
      <w:r>
        <w:rPr>
          <w:bCs/>
          <w:b/>
        </w:rPr>
        <w:t xml:space="preserve">National Bolshevik Party</w:t>
      </w:r>
      <w:r>
        <w:t xml:space="preserve"> </w:t>
      </w:r>
      <w:r>
        <w:t xml:space="preserve">(1993);</w:t>
      </w:r>
      <w:r>
        <w:t xml:space="preserve"> </w:t>
      </w:r>
      <w:r>
        <w:rPr>
          <w:bCs/>
          <w:b/>
        </w:rPr>
        <w:t xml:space="preserve">Kampfbund Deutscher Soldaten</w:t>
      </w:r>
      <w:r>
        <w:t xml:space="preserve">;</w:t>
      </w:r>
      <w:r>
        <w:t xml:space="preserve"> </w:t>
      </w:r>
      <w:r>
        <w:rPr>
          <w:bCs/>
          <w:b/>
        </w:rPr>
        <w:t xml:space="preserve">Guardia di Ferro</w:t>
      </w:r>
      <w:r>
        <w:t xml:space="preserve"> </w:t>
      </w:r>
      <w:r>
        <w:t xml:space="preserve">come modello storico.</w:t>
      </w:r>
    </w:p>
    <w:p>
      <w:pPr>
        <w:pStyle w:val="BodyText"/>
      </w:pPr>
      <w:r>
        <w:t xml:space="preserve">Segmento mediorientale:</w:t>
      </w:r>
      <w:r>
        <w:t xml:space="preserve"> </w:t>
      </w:r>
      <w:r>
        <w:rPr>
          <w:bCs/>
          <w:b/>
        </w:rPr>
        <w:t xml:space="preserve">Kataeb / Falangi libanesi</w:t>
      </w:r>
      <w:r>
        <w:t xml:space="preserve">,</w:t>
      </w:r>
      <w:r>
        <w:t xml:space="preserve"> </w:t>
      </w:r>
      <w:r>
        <w:rPr>
          <w:bCs/>
          <w:b/>
        </w:rPr>
        <w:t xml:space="preserve">Guardiani dei Cedri</w:t>
      </w:r>
      <w:r>
        <w:t xml:space="preserve">,</w:t>
      </w:r>
      <w:r>
        <w:t xml:space="preserve"> </w:t>
      </w:r>
      <w:r>
        <w:rPr>
          <w:bCs/>
          <w:b/>
        </w:rPr>
        <w:t xml:space="preserve">Tigri di Chamoun</w:t>
      </w:r>
      <w:r>
        <w:t xml:space="preserve"> </w:t>
      </w:r>
      <w:r>
        <w:t xml:space="preserve">(fronte maronita);</w:t>
      </w:r>
      <w:r>
        <w:t xml:space="preserve"> </w:t>
      </w:r>
      <w:r>
        <w:rPr>
          <w:bCs/>
          <w:b/>
        </w:rPr>
        <w:t xml:space="preserve">OLP</w:t>
      </w:r>
      <w:r>
        <w:t xml:space="preserve">,</w:t>
      </w:r>
      <w:r>
        <w:t xml:space="preserve"> </w:t>
      </w:r>
      <w:r>
        <w:rPr>
          <w:bCs/>
          <w:b/>
        </w:rPr>
        <w:t xml:space="preserve">Al Fatah</w:t>
      </w:r>
      <w:r>
        <w:t xml:space="preserve">,</w:t>
      </w:r>
      <w:r>
        <w:t xml:space="preserve"> </w:t>
      </w:r>
      <w:r>
        <w:rPr>
          <w:bCs/>
          <w:b/>
        </w:rPr>
        <w:t xml:space="preserve">FPLP</w:t>
      </w:r>
      <w:r>
        <w:t xml:space="preserve">;</w:t>
      </w:r>
      <w:r>
        <w:t xml:space="preserve"> </w:t>
      </w:r>
      <w:r>
        <w:rPr>
          <w:bCs/>
          <w:b/>
        </w:rPr>
        <w:t xml:space="preserve">Armata Rossa Giapponese</w:t>
      </w:r>
      <w:r>
        <w:t xml:space="preserve"> </w:t>
      </w:r>
      <w:r>
        <w:t xml:space="preserve">e</w:t>
      </w:r>
      <w:r>
        <w:t xml:space="preserve"> </w:t>
      </w:r>
      <w:r>
        <w:rPr>
          <w:bCs/>
          <w:b/>
        </w:rPr>
        <w:t xml:space="preserve">Zengakuren</w:t>
      </w:r>
      <w:r>
        <w:t xml:space="preserve"> </w:t>
      </w:r>
      <w:r>
        <w:t xml:space="preserve">(nodi previsti dall’Unità 9 mai eseguita).</w:t>
      </w:r>
    </w:p>
    <w:bookmarkEnd w:id="39"/>
    <w:bookmarkStart w:id="40" w:name="dominio-2-potere-politico"/>
    <w:p>
      <w:pPr>
        <w:pStyle w:val="Heading3"/>
      </w:pPr>
      <w:r>
        <w:t xml:space="preserve">4.3 Dominio 2 — Potere politico</w:t>
      </w:r>
    </w:p>
    <w:p>
      <w:pPr>
        <w:pStyle w:val="FirstParagraph"/>
      </w:pPr>
      <w:r>
        <w:rPr>
          <w:bCs/>
          <w:b/>
        </w:rPr>
        <w:t xml:space="preserve">Democrazia Cristiana</w:t>
      </w:r>
      <w:r>
        <w:t xml:space="preserve">,</w:t>
      </w:r>
      <w:r>
        <w:t xml:space="preserve"> </w:t>
      </w:r>
      <w:r>
        <w:rPr>
          <w:bCs/>
          <w:b/>
        </w:rPr>
        <w:t xml:space="preserve">MSI</w:t>
      </w:r>
      <w:r>
        <w:t xml:space="preserve">,</w:t>
      </w:r>
      <w:r>
        <w:t xml:space="preserve"> </w:t>
      </w:r>
      <w:r>
        <w:rPr>
          <w:bCs/>
          <w:b/>
        </w:rPr>
        <w:t xml:space="preserve">PCI</w:t>
      </w:r>
      <w:r>
        <w:t xml:space="preserve"> </w:t>
      </w:r>
      <w:r>
        <w:t xml:space="preserve">italiani;</w:t>
      </w:r>
      <w:r>
        <w:t xml:space="preserve"> </w:t>
      </w:r>
      <w:r>
        <w:rPr>
          <w:bCs/>
          <w:b/>
        </w:rPr>
        <w:t xml:space="preserve">Forza Nuova</w:t>
      </w:r>
      <w:r>
        <w:t xml:space="preserve"> </w:t>
      </w:r>
      <w:r>
        <w:t xml:space="preserve">(1997),</w:t>
      </w:r>
      <w:r>
        <w:t xml:space="preserve"> </w:t>
      </w:r>
      <w:r>
        <w:rPr>
          <w:bCs/>
          <w:b/>
        </w:rPr>
        <w:t xml:space="preserve">CasaPound</w:t>
      </w:r>
      <w:r>
        <w:t xml:space="preserve">,</w:t>
      </w:r>
      <w:r>
        <w:t xml:space="preserve"> </w:t>
      </w:r>
      <w:r>
        <w:rPr>
          <w:bCs/>
          <w:b/>
        </w:rPr>
        <w:t xml:space="preserve">Alliance for Peace and Freedom</w:t>
      </w:r>
      <w:r>
        <w:t xml:space="preserve"> </w:t>
      </w:r>
      <w:r>
        <w:t xml:space="preserve">(2015);</w:t>
      </w:r>
      <w:r>
        <w:t xml:space="preserve"> </w:t>
      </w:r>
      <w:r>
        <w:rPr>
          <w:bCs/>
          <w:b/>
        </w:rPr>
        <w:t xml:space="preserve">Partito Ba’th</w:t>
      </w:r>
      <w:r>
        <w:t xml:space="preserve"> </w:t>
      </w:r>
      <w:r>
        <w:t xml:space="preserve">siriano e iracheno;</w:t>
      </w:r>
      <w:r>
        <w:t xml:space="preserve"> </w:t>
      </w:r>
      <w:r>
        <w:rPr>
          <w:bCs/>
          <w:b/>
        </w:rPr>
        <w:t xml:space="preserve">Partito Comunista Iracheno</w:t>
      </w:r>
      <w:r>
        <w:t xml:space="preserve">;</w:t>
      </w:r>
      <w:r>
        <w:t xml:space="preserve"> </w:t>
      </w:r>
      <w:r>
        <w:rPr>
          <w:bCs/>
          <w:b/>
        </w:rPr>
        <w:t xml:space="preserve">Tudeh</w:t>
      </w:r>
      <w:r>
        <w:t xml:space="preserve"> </w:t>
      </w:r>
      <w:r>
        <w:t xml:space="preserve">iraniano (con sede in esilio a Lipsia nella Repubblica Democratica Tedesca fra il 1949 e il 1979);</w:t>
      </w:r>
      <w:r>
        <w:t xml:space="preserve"> </w:t>
      </w:r>
      <w:r>
        <w:rPr>
          <w:bCs/>
          <w:b/>
        </w:rPr>
        <w:t xml:space="preserve">Movimento Nazionale Libanese</w:t>
      </w:r>
      <w:r>
        <w:t xml:space="preserve">;</w:t>
      </w:r>
      <w:r>
        <w:t xml:space="preserve"> </w:t>
      </w:r>
      <w:r>
        <w:rPr>
          <w:bCs/>
          <w:b/>
        </w:rPr>
        <w:t xml:space="preserve">Amal</w:t>
      </w:r>
      <w:r>
        <w:t xml:space="preserve"> </w:t>
      </w:r>
      <w:r>
        <w:t xml:space="preserve">e</w:t>
      </w:r>
      <w:r>
        <w:t xml:space="preserve"> </w:t>
      </w:r>
      <w:r>
        <w:rPr>
          <w:bCs/>
          <w:b/>
        </w:rPr>
        <w:t xml:space="preserve">Movimento dei Diseredati</w:t>
      </w:r>
      <w:r>
        <w:t xml:space="preserve">;</w:t>
      </w:r>
      <w:r>
        <w:t xml:space="preserve"> </w:t>
      </w:r>
      <w:r>
        <w:rPr>
          <w:bCs/>
          <w:b/>
        </w:rPr>
        <w:t xml:space="preserve">Da’wa</w:t>
      </w:r>
      <w:r>
        <w:t xml:space="preserve"> </w:t>
      </w:r>
      <w:r>
        <w:t xml:space="preserve">(Najaf, 1957-58);</w:t>
      </w:r>
      <w:r>
        <w:t xml:space="preserve"> </w:t>
      </w:r>
      <w:r>
        <w:rPr>
          <w:bCs/>
          <w:b/>
        </w:rPr>
        <w:t xml:space="preserve">ANC</w:t>
      </w:r>
      <w:r>
        <w:t xml:space="preserve">;</w:t>
      </w:r>
      <w:r>
        <w:t xml:space="preserve"> </w:t>
      </w:r>
      <w:r>
        <w:rPr>
          <w:bCs/>
          <w:b/>
        </w:rPr>
        <w:t xml:space="preserve">SWAPO / PLAN</w:t>
      </w:r>
      <w:r>
        <w:t xml:space="preserve">;</w:t>
      </w:r>
      <w:r>
        <w:t xml:space="preserve"> </w:t>
      </w:r>
      <w:r>
        <w:rPr>
          <w:bCs/>
          <w:b/>
        </w:rPr>
        <w:t xml:space="preserve">PAIGC</w:t>
      </w:r>
      <w:r>
        <w:t xml:space="preserve">;</w:t>
      </w:r>
      <w:r>
        <w:t xml:space="preserve"> </w:t>
      </w:r>
      <w:r>
        <w:rPr>
          <w:bCs/>
          <w:b/>
        </w:rPr>
        <w:t xml:space="preserve">FRELIMO</w:t>
      </w:r>
      <w:r>
        <w:t xml:space="preserve">;</w:t>
      </w:r>
      <w:r>
        <w:t xml:space="preserve"> </w:t>
      </w:r>
      <w:r>
        <w:rPr>
          <w:bCs/>
          <w:b/>
        </w:rPr>
        <w:t xml:space="preserve">MPLA</w:t>
      </w:r>
      <w:r>
        <w:t xml:space="preserve">;</w:t>
      </w:r>
      <w:r>
        <w:t xml:space="preserve"> </w:t>
      </w:r>
      <w:r>
        <w:rPr>
          <w:bCs/>
          <w:b/>
        </w:rPr>
        <w:t xml:space="preserve">FNLA</w:t>
      </w:r>
      <w:r>
        <w:t xml:space="preserve">;</w:t>
      </w:r>
      <w:r>
        <w:t xml:space="preserve"> </w:t>
      </w:r>
      <w:r>
        <w:rPr>
          <w:bCs/>
          <w:b/>
        </w:rPr>
        <w:t xml:space="preserve">Movimento Negro Unificado</w:t>
      </w:r>
      <w:r>
        <w:t xml:space="preserve"> </w:t>
      </w:r>
      <w:r>
        <w:t xml:space="preserve">brasiliano (1978);</w:t>
      </w:r>
      <w:r>
        <w:t xml:space="preserve"> </w:t>
      </w:r>
      <w:r>
        <w:rPr>
          <w:bCs/>
          <w:b/>
        </w:rPr>
        <w:t xml:space="preserve">Coordinamento Nazionale contro l’Apartheid</w:t>
      </w:r>
      <w:r>
        <w:t xml:space="preserve"> </w:t>
      </w:r>
      <w:r>
        <w:t xml:space="preserve">(Italia, gennaio 1985).</w:t>
      </w:r>
    </w:p>
    <w:bookmarkEnd w:id="40"/>
    <w:bookmarkStart w:id="41" w:name="Xbced2f1473314d862f748d69a40ca3e6dd471a1"/>
    <w:p>
      <w:pPr>
        <w:pStyle w:val="Heading3"/>
      </w:pPr>
      <w:r>
        <w:t xml:space="preserve">4.4 Domini 4 e 5 — Massoneria, società segrete e istituzioni religiose</w:t>
      </w:r>
    </w:p>
    <w:p>
      <w:pPr>
        <w:pStyle w:val="FirstParagraph"/>
      </w:pPr>
      <w:r>
        <w:rPr>
          <w:bCs/>
          <w:b/>
        </w:rPr>
        <w:t xml:space="preserve">P2</w:t>
      </w:r>
      <w:r>
        <w:t xml:space="preserve"> </w:t>
      </w:r>
      <w:r>
        <w:t xml:space="preserve">(holding descritta dal rapporto SNI del 21 luglio 1983 come dedita anche al contrabbando d’armi e alla vendita di segreti militari);</w:t>
      </w:r>
      <w:r>
        <w:t xml:space="preserve"> </w:t>
      </w:r>
      <w:r>
        <w:rPr>
          <w:bCs/>
          <w:b/>
        </w:rPr>
        <w:t xml:space="preserve">World Anti-Communist League</w:t>
      </w:r>
      <w:r>
        <w:t xml:space="preserve"> </w:t>
      </w:r>
      <w:r>
        <w:t xml:space="preserve">(fondata a Taipei nel 1966) e</w:t>
      </w:r>
      <w:r>
        <w:t xml:space="preserve"> </w:t>
      </w:r>
      <w:r>
        <w:rPr>
          <w:bCs/>
          <w:b/>
        </w:rPr>
        <w:t xml:space="preserve">APACL</w:t>
      </w:r>
      <w:r>
        <w:t xml:space="preserve"> </w:t>
      </w:r>
      <w:r>
        <w:t xml:space="preserve">(1954, cofondata da Chiang Kai-shek e Syngman Rhee) e</w:t>
      </w:r>
      <w:r>
        <w:t xml:space="preserve"> </w:t>
      </w:r>
      <w:r>
        <w:rPr>
          <w:bCs/>
          <w:b/>
        </w:rPr>
        <w:t xml:space="preserve">Confederación Anticomunista Latinoamericana</w:t>
      </w:r>
      <w:r>
        <w:t xml:space="preserve"> </w:t>
      </w:r>
      <w:r>
        <w:t xml:space="preserve">(Guadalajara, agosto 1972, sesta assemblea WACL);</w:t>
      </w:r>
      <w:r>
        <w:t xml:space="preserve"> </w:t>
      </w:r>
      <w:r>
        <w:rPr>
          <w:bCs/>
          <w:b/>
        </w:rPr>
        <w:t xml:space="preserve">Fraternità San Pio X</w:t>
      </w:r>
      <w:r>
        <w:t xml:space="preserve"> </w:t>
      </w:r>
      <w:r>
        <w:t xml:space="preserve">(orbita di riferimento di parte della dirigenza ITP);</w:t>
      </w:r>
      <w:r>
        <w:t xml:space="preserve"> </w:t>
      </w:r>
      <w:r>
        <w:rPr>
          <w:bCs/>
          <w:b/>
        </w:rPr>
        <w:t xml:space="preserve">Supremo Consiglio Islamico Sciita</w:t>
      </w:r>
      <w:r>
        <w:t xml:space="preserve"> </w:t>
      </w:r>
      <w:r>
        <w:t xml:space="preserve">(1969);</w:t>
      </w:r>
      <w:r>
        <w:t xml:space="preserve"> </w:t>
      </w:r>
      <w:r>
        <w:rPr>
          <w:bCs/>
          <w:b/>
        </w:rPr>
        <w:t xml:space="preserve">marja’iyya di Najaf</w:t>
      </w:r>
      <w:r>
        <w:t xml:space="preserve">;</w:t>
      </w:r>
      <w:r>
        <w:t xml:space="preserve"> </w:t>
      </w:r>
      <w:r>
        <w:rPr>
          <w:bCs/>
          <w:b/>
        </w:rPr>
        <w:t xml:space="preserve">Direzione spirituale dei musulmani della Transcaucasia</w:t>
      </w:r>
      <w:r>
        <w:t xml:space="preserve"> </w:t>
      </w:r>
      <w:r>
        <w:t xml:space="preserve">(ricostituita il 14 aprile 1944 a Baku, unico dei quattro direttorati sovietici competente anche per gli sciiti, guidato da un chierico con titolo di Shaykh al-Islam);</w:t>
      </w:r>
      <w:r>
        <w:t xml:space="preserve"> </w:t>
      </w:r>
      <w:r>
        <w:rPr>
          <w:bCs/>
          <w:b/>
        </w:rPr>
        <w:t xml:space="preserve">Chiesa dell’Unificazione</w:t>
      </w:r>
      <w:r>
        <w:t xml:space="preserve"> </w:t>
      </w:r>
      <w:r>
        <w:t xml:space="preserve">e</w:t>
      </w:r>
      <w:r>
        <w:t xml:space="preserve"> </w:t>
      </w:r>
      <w:r>
        <w:rPr>
          <w:bCs/>
          <w:b/>
        </w:rPr>
        <w:t xml:space="preserve">Kokusai Shōkyō Rengō</w:t>
      </w:r>
      <w:r>
        <w:t xml:space="preserve"> </w:t>
      </w:r>
      <w:r>
        <w:t xml:space="preserve">(1968, nodi previsti dall’Unità 9 mai eseguita).</w:t>
      </w:r>
    </w:p>
    <w:bookmarkEnd w:id="41"/>
    <w:bookmarkStart w:id="42" w:name="dominio-6-economia-finanza-e-impresa"/>
    <w:p>
      <w:pPr>
        <w:pStyle w:val="Heading3"/>
      </w:pPr>
      <w:r>
        <w:t xml:space="preserve">4.5 Dominio 6 — Economia, finanza e impresa</w:t>
      </w:r>
    </w:p>
    <w:p>
      <w:pPr>
        <w:pStyle w:val="FirstParagraph"/>
      </w:pPr>
      <w:r>
        <w:t xml:space="preserve">Segmento italiano:</w:t>
      </w:r>
      <w:r>
        <w:t xml:space="preserve"> </w:t>
      </w:r>
      <w:r>
        <w:rPr>
          <w:bCs/>
          <w:b/>
        </w:rPr>
        <w:t xml:space="preserve">Aermacchi</w:t>
      </w:r>
      <w:r>
        <w:t xml:space="preserve"> </w:t>
      </w:r>
      <w:r>
        <w:t xml:space="preserve">(licenza MB-326 al Sudafrica nel 1964, produzione dal 1966, quaranta velivoli importati direttamente, circa centoventicinque Impala Mk I e circa settantotto Impala Mk II costruiti localmente dal 1974; quaranta velivoli da osservazione AM.3C Bosbok consegnati alla SAAF fra il 1973 e il 1975 tramite joint venture con</w:t>
      </w:r>
      <w:r>
        <w:t xml:space="preserve"> </w:t>
      </w:r>
      <w:r>
        <w:rPr>
          <w:bCs/>
          <w:b/>
        </w:rPr>
        <w:t xml:space="preserve">Aeritalia</w:t>
      </w:r>
      <w:r>
        <w:t xml:space="preserve">);</w:t>
      </w:r>
      <w:r>
        <w:t xml:space="preserve"> </w:t>
      </w:r>
      <w:r>
        <w:rPr>
          <w:bCs/>
          <w:b/>
        </w:rPr>
        <w:t xml:space="preserve">Agusta</w:t>
      </w:r>
      <w:r>
        <w:t xml:space="preserve">;</w:t>
      </w:r>
      <w:r>
        <w:t xml:space="preserve"> </w:t>
      </w:r>
      <w:r>
        <w:rPr>
          <w:bCs/>
          <w:b/>
        </w:rPr>
        <w:t xml:space="preserve">Valsella Meccanotecnica</w:t>
      </w:r>
      <w:r>
        <w:t xml:space="preserve"> </w:t>
      </w:r>
      <w:r>
        <w:t xml:space="preserve">di Castenedolo, controllata</w:t>
      </w:r>
      <w:r>
        <w:t xml:space="preserve"> </w:t>
      </w:r>
      <w:r>
        <w:rPr>
          <w:bCs/>
          <w:b/>
        </w:rPr>
        <w:t xml:space="preserve">Fiat</w:t>
      </w:r>
      <w:r>
        <w:t xml:space="preserve"> </w:t>
      </w:r>
      <w:r>
        <w:t xml:space="preserve">dal 1984, leader mondiale nella produzione di mine, oggetto delle inchieste della Procura di Massa Carrara del 1987 e della Procura di Brescia del marzo 1988 per la triangolazione via Singapore verso l’Iraq fra il 1982 e il 1985;</w:t>
      </w:r>
      <w:r>
        <w:t xml:space="preserve"> </w:t>
      </w:r>
      <w:r>
        <w:rPr>
          <w:bCs/>
          <w:b/>
        </w:rPr>
        <w:t xml:space="preserve">Oto Melara</w:t>
      </w:r>
      <w:r>
        <w:t xml:space="preserve">,</w:t>
      </w:r>
      <w:r>
        <w:t xml:space="preserve"> </w:t>
      </w:r>
      <w:r>
        <w:rPr>
          <w:bCs/>
          <w:b/>
        </w:rPr>
        <w:t xml:space="preserve">Beretta</w:t>
      </w:r>
      <w:r>
        <w:t xml:space="preserve">,</w:t>
      </w:r>
      <w:r>
        <w:t xml:space="preserve"> </w:t>
      </w:r>
      <w:r>
        <w:rPr>
          <w:bCs/>
          <w:b/>
        </w:rPr>
        <w:t xml:space="preserve">SNIA/BPD</w:t>
      </w:r>
      <w:r>
        <w:t xml:space="preserve"> </w:t>
      </w:r>
      <w:r>
        <w:t xml:space="preserve">(coinvolgimento non sostanziato da fonti primarie);</w:t>
      </w:r>
      <w:r>
        <w:t xml:space="preserve"> </w:t>
      </w:r>
      <w:r>
        <w:rPr>
          <w:bCs/>
          <w:b/>
        </w:rPr>
        <w:t xml:space="preserve">Banco Ambrosiano Andino</w:t>
      </w:r>
      <w:r>
        <w:t xml:space="preserve">, succursale peruviana del gruppo Calvi.</w:t>
      </w:r>
    </w:p>
    <w:p>
      <w:pPr>
        <w:pStyle w:val="BodyText"/>
      </w:pPr>
      <w:r>
        <w:t xml:space="preserve">Segmento sudafricano e cileno:</w:t>
      </w:r>
      <w:r>
        <w:t xml:space="preserve"> </w:t>
      </w:r>
      <w:r>
        <w:rPr>
          <w:bCs/>
          <w:b/>
        </w:rPr>
        <w:t xml:space="preserve">Atlas Aircraft Corporation</w:t>
      </w:r>
      <w:r>
        <w:t xml:space="preserve">, poi assorbita nell’orbita</w:t>
      </w:r>
      <w:r>
        <w:t xml:space="preserve"> </w:t>
      </w:r>
      <w:r>
        <w:rPr>
          <w:bCs/>
          <w:b/>
        </w:rPr>
        <w:t xml:space="preserve">Armscor</w:t>
      </w:r>
      <w:r>
        <w:t xml:space="preserve">;</w:t>
      </w:r>
      <w:r>
        <w:t xml:space="preserve"> </w:t>
      </w:r>
      <w:r>
        <w:rPr>
          <w:bCs/>
          <w:b/>
        </w:rPr>
        <w:t xml:space="preserve">Industrias Cardoen</w:t>
      </w:r>
      <w:r>
        <w:t xml:space="preserve">;</w:t>
      </w:r>
      <w:r>
        <w:t xml:space="preserve"> </w:t>
      </w:r>
      <w:r>
        <w:rPr>
          <w:bCs/>
          <w:b/>
        </w:rPr>
        <w:t xml:space="preserve">FAMAE</w:t>
      </w:r>
      <w:r>
        <w:t xml:space="preserve">;</w:t>
      </w:r>
      <w:r>
        <w:t xml:space="preserve"> </w:t>
      </w:r>
      <w:r>
        <w:rPr>
          <w:bCs/>
          <w:b/>
        </w:rPr>
        <w:t xml:space="preserve">ENAER</w:t>
      </w:r>
      <w:r>
        <w:t xml:space="preserve">;</w:t>
      </w:r>
      <w:r>
        <w:t xml:space="preserve"> </w:t>
      </w:r>
      <w:r>
        <w:rPr>
          <w:bCs/>
          <w:b/>
        </w:rPr>
        <w:t xml:space="preserve">Anglo American</w:t>
      </w:r>
      <w:r>
        <w:t xml:space="preserve">;</w:t>
      </w:r>
      <w:r>
        <w:t xml:space="preserve"> </w:t>
      </w:r>
      <w:r>
        <w:rPr>
          <w:bCs/>
          <w:b/>
        </w:rPr>
        <w:t xml:space="preserve">Rössing Uranium</w:t>
      </w:r>
      <w:r>
        <w:t xml:space="preserve">;</w:t>
      </w:r>
      <w:r>
        <w:t xml:space="preserve"> </w:t>
      </w:r>
      <w:r>
        <w:rPr>
          <w:bCs/>
          <w:b/>
        </w:rPr>
        <w:t xml:space="preserve">Space Research Corporation</w:t>
      </w:r>
      <w:r>
        <w:t xml:space="preserve"> </w:t>
      </w:r>
      <w:r>
        <w:t xml:space="preserve">di Gerald Bull;</w:t>
      </w:r>
      <w:r>
        <w:t xml:space="preserve"> </w:t>
      </w:r>
      <w:r>
        <w:rPr>
          <w:bCs/>
          <w:b/>
        </w:rPr>
        <w:t xml:space="preserve">ISC/Fuchs</w:t>
      </w:r>
      <w:r>
        <w:t xml:space="preserve">.</w:t>
      </w:r>
    </w:p>
    <w:p>
      <w:pPr>
        <w:pStyle w:val="BodyText"/>
      </w:pPr>
      <w:r>
        <w:t xml:space="preserve">Segmento brasiliano:</w:t>
      </w:r>
      <w:r>
        <w:t xml:space="preserve"> </w:t>
      </w:r>
      <w:r>
        <w:rPr>
          <w:bCs/>
          <w:b/>
        </w:rPr>
        <w:t xml:space="preserve">Engesa</w:t>
      </w:r>
      <w:r>
        <w:t xml:space="preserve">;</w:t>
      </w:r>
      <w:r>
        <w:t xml:space="preserve"> </w:t>
      </w:r>
      <w:r>
        <w:rPr>
          <w:bCs/>
          <w:b/>
        </w:rPr>
        <w:t xml:space="preserve">Varig</w:t>
      </w:r>
      <w:r>
        <w:t xml:space="preserve">;</w:t>
      </w:r>
      <w:r>
        <w:t xml:space="preserve"> </w:t>
      </w:r>
      <w:r>
        <w:rPr>
          <w:bCs/>
          <w:b/>
        </w:rPr>
        <w:t xml:space="preserve">Itamaraty</w:t>
      </w:r>
      <w:r>
        <w:t xml:space="preserve"> </w:t>
      </w:r>
      <w:r>
        <w:t xml:space="preserve">come apparato diplomatico-decisore.</w:t>
      </w:r>
    </w:p>
    <w:p>
      <w:pPr>
        <w:pStyle w:val="BodyText"/>
      </w:pPr>
      <w:r>
        <w:t xml:space="preserve">Segmento della rete terzaposizionista:</w:t>
      </w:r>
      <w:r>
        <w:t xml:space="preserve"> </w:t>
      </w:r>
      <w:r>
        <w:rPr>
          <w:bCs/>
          <w:b/>
        </w:rPr>
        <w:t xml:space="preserve">Meeting Point</w:t>
      </w:r>
      <w:r>
        <w:t xml:space="preserve"> </w:t>
      </w:r>
      <w:r>
        <w:t xml:space="preserve">e</w:t>
      </w:r>
      <w:r>
        <w:t xml:space="preserve"> </w:t>
      </w:r>
      <w:r>
        <w:rPr>
          <w:bCs/>
          <w:b/>
        </w:rPr>
        <w:t xml:space="preserve">St. George Educational Trust</w:t>
      </w:r>
      <w:r>
        <w:t xml:space="preserve"> </w:t>
      </w:r>
      <w:r>
        <w:t xml:space="preserve">(Londra).</w:t>
      </w:r>
    </w:p>
    <w:bookmarkEnd w:id="42"/>
    <w:bookmarkStart w:id="43" w:name="X319b2f4ebd62e910ddb7b36125bf7310af1da64"/>
    <w:p>
      <w:pPr>
        <w:pStyle w:val="Heading3"/>
      </w:pPr>
      <w:r>
        <w:t xml:space="preserve">4.6 Dominio 8 — Media e controllo dell’informazione</w:t>
      </w:r>
    </w:p>
    <w:p>
      <w:pPr>
        <w:pStyle w:val="FirstParagraph"/>
      </w:pPr>
      <w:r>
        <w:rPr>
          <w:bCs/>
          <w:b/>
        </w:rPr>
        <w:t xml:space="preserve">L’Europeo</w:t>
      </w:r>
      <w:r>
        <w:t xml:space="preserve"> </w:t>
      </w:r>
      <w:r>
        <w:t xml:space="preserve">(fotografie dell’archivio sequestrato);</w:t>
      </w:r>
      <w:r>
        <w:t xml:space="preserve"> </w:t>
      </w:r>
      <w:r>
        <w:rPr>
          <w:bCs/>
          <w:b/>
        </w:rPr>
        <w:t xml:space="preserve">Il Borghese</w:t>
      </w:r>
      <w:r>
        <w:t xml:space="preserve">;</w:t>
      </w:r>
      <w:r>
        <w:t xml:space="preserve"> </w:t>
      </w:r>
      <w:r>
        <w:rPr>
          <w:bCs/>
          <w:b/>
        </w:rPr>
        <w:t xml:space="preserve">agenzia Oltremare</w:t>
      </w:r>
      <w:r>
        <w:t xml:space="preserve">;</w:t>
      </w:r>
      <w:r>
        <w:t xml:space="preserve"> </w:t>
      </w:r>
      <w:r>
        <w:rPr>
          <w:bCs/>
          <w:b/>
        </w:rPr>
        <w:t xml:space="preserve">Confidentiel</w:t>
      </w:r>
      <w:r>
        <w:t xml:space="preserve"> </w:t>
      </w:r>
      <w:r>
        <w:t xml:space="preserve">(trimestrale di politica, strategia e conflitti diretto da Mario Tilgher, redazioni in Spagna con responsabile Ernesto Milà e in Francia, distribuzione anche latinoamericana);</w:t>
      </w:r>
      <w:r>
        <w:t xml:space="preserve"> </w:t>
      </w:r>
      <w:r>
        <w:rPr>
          <w:bCs/>
          <w:b/>
        </w:rPr>
        <w:t xml:space="preserve">Rand Daily Mail</w:t>
      </w:r>
      <w:r>
        <w:t xml:space="preserve">;</w:t>
      </w:r>
      <w:r>
        <w:t xml:space="preserve"> </w:t>
      </w:r>
      <w:r>
        <w:rPr>
          <w:bCs/>
          <w:b/>
        </w:rPr>
        <w:t xml:space="preserve">Le Monde Moderne</w:t>
      </w:r>
      <w:r>
        <w:t xml:space="preserve"> </w:t>
      </w:r>
      <w:r>
        <w:t xml:space="preserve">(piccolo giornale francese acquistato nell’ambito del Muldergate);</w:t>
      </w:r>
      <w:r>
        <w:t xml:space="preserve"> </w:t>
      </w:r>
      <w:r>
        <w:rPr>
          <w:bCs/>
          <w:b/>
        </w:rPr>
        <w:t xml:space="preserve">Club of Ten</w:t>
      </w:r>
      <w:r>
        <w:t xml:space="preserve"> </w:t>
      </w:r>
      <w:r>
        <w:t xml:space="preserve">(organizzazione di facciata guidata da Gerald Sparrow);</w:t>
      </w:r>
      <w:r>
        <w:t xml:space="preserve"> </w:t>
      </w:r>
      <w:r>
        <w:rPr>
          <w:bCs/>
          <w:b/>
        </w:rPr>
        <w:t xml:space="preserve">National Front News</w:t>
      </w:r>
      <w:r>
        <w:t xml:space="preserve">;</w:t>
      </w:r>
      <w:r>
        <w:t xml:space="preserve"> </w:t>
      </w:r>
      <w:r>
        <w:rPr>
          <w:bCs/>
          <w:b/>
        </w:rPr>
        <w:t xml:space="preserve">Szczerbiec</w:t>
      </w:r>
      <w:r>
        <w:t xml:space="preserve"> </w:t>
      </w:r>
      <w:r>
        <w:t xml:space="preserve">(rivista NOP con Holland e Fiore nel comitato di redazione);</w:t>
      </w:r>
      <w:r>
        <w:t xml:space="preserve"> </w:t>
      </w:r>
      <w:r>
        <w:rPr>
          <w:bCs/>
          <w:b/>
        </w:rPr>
        <w:t xml:space="preserve">Searchlight</w:t>
      </w:r>
      <w:r>
        <w:t xml:space="preserve">;</w:t>
      </w:r>
      <w:r>
        <w:t xml:space="preserve"> </w:t>
      </w:r>
      <w:r>
        <w:rPr>
          <w:bCs/>
          <w:b/>
        </w:rPr>
        <w:t xml:space="preserve">Literaturnaja Gazeta</w:t>
      </w:r>
      <w:r>
        <w:t xml:space="preserve"> </w:t>
      </w:r>
      <w:r>
        <w:t xml:space="preserve">e</w:t>
      </w:r>
      <w:r>
        <w:t xml:space="preserve"> </w:t>
      </w:r>
      <w:r>
        <w:rPr>
          <w:bCs/>
          <w:b/>
        </w:rPr>
        <w:t xml:space="preserve">Novosti</w:t>
      </w:r>
      <w:r>
        <w:t xml:space="preserve"> </w:t>
      </w:r>
      <w:r>
        <w:t xml:space="preserve">(campagne di esposizione della strategia della tensione); bollettini</w:t>
      </w:r>
      <w:r>
        <w:t xml:space="preserve"> </w:t>
      </w:r>
      <w:r>
        <w:rPr>
          <w:bCs/>
          <w:b/>
        </w:rPr>
        <w:t xml:space="preserve">AGP</w:t>
      </w:r>
      <w:r>
        <w:t xml:space="preserve"> </w:t>
      </w:r>
      <w:r>
        <w:t xml:space="preserve">di Aginter, di cui sono identificati nel corpus il numero 34 del 15 gennaio 1969 intitolato «Brésil – une autre Grèce» e il numero 55 del 28 febbraio 1970 intitolato «U.R.S.S. – Chine: la Lutte des Impérialistes».</w:t>
      </w:r>
    </w:p>
    <w:bookmarkEnd w:id="43"/>
    <w:bookmarkStart w:id="44" w:name="X11b52c816469b25e67854af016f384d3cab0468"/>
    <w:p>
      <w:pPr>
        <w:pStyle w:val="Heading3"/>
      </w:pPr>
      <w:r>
        <w:t xml:space="preserve">4.7 Domini 9 e 10 — Forze armate e sistema giudiziario</w:t>
      </w:r>
    </w:p>
    <w:p>
      <w:pPr>
        <w:pStyle w:val="FirstParagraph"/>
      </w:pPr>
      <w:r>
        <w:rPr>
          <w:bCs/>
          <w:b/>
        </w:rPr>
        <w:t xml:space="preserve">SADF</w:t>
      </w:r>
      <w:r>
        <w:t xml:space="preserve"> </w:t>
      </w:r>
      <w:r>
        <w:t xml:space="preserve">e</w:t>
      </w:r>
      <w:r>
        <w:t xml:space="preserve"> </w:t>
      </w:r>
      <w:r>
        <w:rPr>
          <w:bCs/>
          <w:b/>
        </w:rPr>
        <w:t xml:space="preserve">SAAF</w:t>
      </w:r>
      <w:r>
        <w:t xml:space="preserve">;</w:t>
      </w:r>
      <w:r>
        <w:t xml:space="preserve"> </w:t>
      </w:r>
      <w:r>
        <w:rPr>
          <w:bCs/>
          <w:b/>
        </w:rPr>
        <w:t xml:space="preserve">Carabineros</w:t>
      </w:r>
      <w:r>
        <w:t xml:space="preserve"> </w:t>
      </w:r>
      <w:r>
        <w:t xml:space="preserve">cileni;</w:t>
      </w:r>
      <w:r>
        <w:t xml:space="preserve"> </w:t>
      </w:r>
      <w:r>
        <w:rPr>
          <w:bCs/>
          <w:b/>
        </w:rPr>
        <w:t xml:space="preserve">NATO</w:t>
      </w:r>
      <w:r>
        <w:t xml:space="preserve">;</w:t>
      </w:r>
      <w:r>
        <w:t xml:space="preserve"> </w:t>
      </w:r>
      <w:r>
        <w:rPr>
          <w:bCs/>
          <w:b/>
        </w:rPr>
        <w:t xml:space="preserve">Bataillon français de l’ONU</w:t>
      </w:r>
      <w:r>
        <w:t xml:space="preserve"> </w:t>
      </w:r>
      <w:r>
        <w:t xml:space="preserve">e</w:t>
      </w:r>
      <w:r>
        <w:t xml:space="preserve"> </w:t>
      </w:r>
      <w:r>
        <w:rPr>
          <w:bCs/>
          <w:b/>
        </w:rPr>
        <w:t xml:space="preserve">23° Regimental Combat Team della 2ª Divisione di fanteria statunitense</w:t>
      </w:r>
      <w:r>
        <w:t xml:space="preserve">;</w:t>
      </w:r>
      <w:r>
        <w:t xml:space="preserve"> </w:t>
      </w:r>
      <w:r>
        <w:rPr>
          <w:bCs/>
          <w:b/>
        </w:rPr>
        <w:t xml:space="preserve">1er Bataillon de parachutistes coloniaux</w:t>
      </w:r>
      <w:r>
        <w:t xml:space="preserve">;</w:t>
      </w:r>
      <w:r>
        <w:t xml:space="preserve"> </w:t>
      </w:r>
      <w:r>
        <w:rPr>
          <w:bCs/>
          <w:b/>
        </w:rPr>
        <w:t xml:space="preserve">UNTAG</w:t>
      </w:r>
      <w:r>
        <w:t xml:space="preserve"> </w:t>
      </w:r>
      <w:r>
        <w:t xml:space="preserve">(supervisione delle elezioni namibiane del novembre 1989 e dell’indipendenza del 21 marzo 1990);</w:t>
      </w:r>
      <w:r>
        <w:t xml:space="preserve"> </w:t>
      </w:r>
      <w:r>
        <w:rPr>
          <w:bCs/>
          <w:b/>
        </w:rPr>
        <w:t xml:space="preserve">UNAVEM I</w:t>
      </w:r>
      <w:r>
        <w:t xml:space="preserve"> </w:t>
      </w:r>
      <w:r>
        <w:t xml:space="preserve">(comando del generale brasiliano Péricles Ferreira Gomes).</w:t>
      </w:r>
    </w:p>
    <w:p>
      <w:pPr>
        <w:pStyle w:val="BodyText"/>
      </w:pPr>
      <w:r>
        <w:t xml:space="preserve">Sul versante giudiziario e archivistico:</w:t>
      </w:r>
      <w:r>
        <w:t xml:space="preserve"> </w:t>
      </w:r>
      <w:r>
        <w:rPr>
          <w:bCs/>
          <w:b/>
        </w:rPr>
        <w:t xml:space="preserve">Commissione parlamentare d’inchiesta sulle stragi</w:t>
      </w:r>
      <w:r>
        <w:t xml:space="preserve">;</w:t>
      </w:r>
      <w:r>
        <w:t xml:space="preserve"> </w:t>
      </w:r>
      <w:r>
        <w:rPr>
          <w:bCs/>
          <w:b/>
        </w:rPr>
        <w:t xml:space="preserve">Commissione Mitrokhin</w:t>
      </w:r>
      <w:r>
        <w:t xml:space="preserve"> </w:t>
      </w:r>
      <w:r>
        <w:t xml:space="preserve">(presieduta da Paolo Guzzanti, 2002-2006);</w:t>
      </w:r>
      <w:r>
        <w:t xml:space="preserve"> </w:t>
      </w:r>
      <w:r>
        <w:rPr>
          <w:bCs/>
          <w:b/>
        </w:rPr>
        <w:t xml:space="preserve">Corte d’assise di Bologna</w:t>
      </w:r>
      <w:r>
        <w:t xml:space="preserve"> </w:t>
      </w:r>
      <w:r>
        <w:t xml:space="preserve">e</w:t>
      </w:r>
      <w:r>
        <w:t xml:space="preserve"> </w:t>
      </w:r>
      <w:r>
        <w:rPr>
          <w:bCs/>
          <w:b/>
        </w:rPr>
        <w:t xml:space="preserve">Corte d’assise d’appello</w:t>
      </w:r>
      <w:r>
        <w:t xml:space="preserve">;</w:t>
      </w:r>
      <w:r>
        <w:t xml:space="preserve"> </w:t>
      </w:r>
      <w:r>
        <w:rPr>
          <w:bCs/>
          <w:b/>
        </w:rPr>
        <w:t xml:space="preserve">Corte di Cassazione, Prima sezione penale</w:t>
      </w:r>
      <w:r>
        <w:t xml:space="preserve">;</w:t>
      </w:r>
      <w:r>
        <w:t xml:space="preserve"> </w:t>
      </w:r>
      <w:r>
        <w:rPr>
          <w:bCs/>
          <w:b/>
        </w:rPr>
        <w:t xml:space="preserve">Procura generale di Bologna</w:t>
      </w:r>
      <w:r>
        <w:t xml:space="preserve">;</w:t>
      </w:r>
      <w:r>
        <w:t xml:space="preserve"> </w:t>
      </w:r>
      <w:r>
        <w:rPr>
          <w:bCs/>
          <w:b/>
        </w:rPr>
        <w:t xml:space="preserve">Truth and Reconciliation Commission</w:t>
      </w:r>
      <w:r>
        <w:t xml:space="preserve"> </w:t>
      </w:r>
      <w:r>
        <w:t xml:space="preserve">sudafricana;</w:t>
      </w:r>
      <w:r>
        <w:t xml:space="preserve"> </w:t>
      </w:r>
      <w:r>
        <w:rPr>
          <w:bCs/>
          <w:b/>
        </w:rPr>
        <w:t xml:space="preserve">Commissione Rettig</w:t>
      </w:r>
      <w:r>
        <w:t xml:space="preserve"> </w:t>
      </w:r>
      <w:r>
        <w:t xml:space="preserve">cilena (2.298 vittime accertate);</w:t>
      </w:r>
      <w:r>
        <w:t xml:space="preserve"> </w:t>
      </w:r>
      <w:r>
        <w:rPr>
          <w:bCs/>
          <w:b/>
        </w:rPr>
        <w:t xml:space="preserve">Arquivo Nacional Torre do Tombo</w:t>
      </w:r>
      <w:r>
        <w:t xml:space="preserve">;</w:t>
      </w:r>
      <w:r>
        <w:t xml:space="preserve"> </w:t>
      </w:r>
      <w:r>
        <w:rPr>
          <w:bCs/>
          <w:b/>
        </w:rPr>
        <w:t xml:space="preserve">Stasi-Unterlagen-Archiv (BStU)</w:t>
      </w:r>
      <w:r>
        <w:t xml:space="preserve">;</w:t>
      </w:r>
      <w:r>
        <w:t xml:space="preserve"> </w:t>
      </w:r>
      <w:r>
        <w:rPr>
          <w:bCs/>
          <w:b/>
        </w:rPr>
        <w:t xml:space="preserve">Archiv bezpečnostních složek (ABS)</w:t>
      </w:r>
      <w:r>
        <w:t xml:space="preserve"> </w:t>
      </w:r>
      <w:r>
        <w:t xml:space="preserve">di Praga;</w:t>
      </w:r>
      <w:r>
        <w:t xml:space="preserve"> </w:t>
      </w:r>
      <w:r>
        <w:rPr>
          <w:bCs/>
          <w:b/>
        </w:rPr>
        <w:t xml:space="preserve">IPN</w:t>
      </w:r>
      <w:r>
        <w:t xml:space="preserve"> </w:t>
      </w:r>
      <w:r>
        <w:t xml:space="preserve">polacco;</w:t>
      </w:r>
      <w:r>
        <w:t xml:space="preserve"> </w:t>
      </w:r>
      <w:r>
        <w:rPr>
          <w:bCs/>
          <w:b/>
        </w:rPr>
        <w:t xml:space="preserve">CNSAS</w:t>
      </w:r>
      <w:r>
        <w:t xml:space="preserve"> </w:t>
      </w:r>
      <w:r>
        <w:t xml:space="preserve">romeno;</w:t>
      </w:r>
      <w:r>
        <w:t xml:space="preserve"> </w:t>
      </w:r>
      <w:r>
        <w:rPr>
          <w:bCs/>
          <w:b/>
        </w:rPr>
        <w:t xml:space="preserve">COMDOS</w:t>
      </w:r>
      <w:r>
        <w:t xml:space="preserve"> </w:t>
      </w:r>
      <w:r>
        <w:t xml:space="preserve">bulgaro;</w:t>
      </w:r>
      <w:r>
        <w:t xml:space="preserve"> </w:t>
      </w:r>
      <w:r>
        <w:rPr>
          <w:bCs/>
          <w:b/>
        </w:rPr>
        <w:t xml:space="preserve">Churchill Archives Centre</w:t>
      </w:r>
      <w:r>
        <w:t xml:space="preserve"> </w:t>
      </w:r>
      <w:r>
        <w:t xml:space="preserve">di Cambridge.</w:t>
      </w:r>
    </w:p>
    <w:p>
      <w:r>
        <w:pict>
          <v:rect style="width:0;height:1.5pt" o:hralign="center" o:hrstd="t" o:hr="t"/>
        </w:pict>
      </w:r>
    </w:p>
    <w:bookmarkEnd w:id="44"/>
    <w:bookmarkEnd w:id="45"/>
    <w:bookmarkStart w:id="50" w:name="Xeb10cceac9790ee8c2e99f951a9cfcb0209618c"/>
    <w:p>
      <w:pPr>
        <w:pStyle w:val="Heading2"/>
      </w:pPr>
      <w:r>
        <w:t xml:space="preserve">PARTE QUINTA — CATALOGO DEI NODI-EVENTO (MODALITÀ 3)</w:t>
      </w:r>
    </w:p>
    <w:bookmarkStart w:id="46" w:name="X0775e35770e7fb0e792e62a85daa35dd9df92f7"/>
    <w:p>
      <w:pPr>
        <w:pStyle w:val="Heading3"/>
      </w:pPr>
      <w:r>
        <w:t xml:space="preserve">5.1 Sequenza fondativa e operativa di Aginter, 1964-1977</w:t>
      </w:r>
    </w:p>
    <w:p>
      <w:pPr>
        <w:pStyle w:val="FirstParagraph"/>
      </w:pPr>
      <w:r>
        <w:t xml:space="preserve">Incontro fra Guido Giannettini e Yves Guérin-Sérac a Lisbona nel</w:t>
      </w:r>
      <w:r>
        <w:t xml:space="preserve"> </w:t>
      </w:r>
      <w:r>
        <w:rPr>
          <w:bCs/>
          <w:b/>
        </w:rPr>
        <w:t xml:space="preserve">1964</w:t>
      </w:r>
      <w:r>
        <w:t xml:space="preserve">, con presentazione da parte di un membro dell’OAS e alla presenza di un funzionario della PIDE. Fondazione di Aginter Press a Lisbona nel</w:t>
      </w:r>
      <w:r>
        <w:t xml:space="preserve"> </w:t>
      </w:r>
      <w:r>
        <w:rPr>
          <w:bCs/>
          <w:b/>
        </w:rPr>
        <w:t xml:space="preserve">settembre 1966</w:t>
      </w:r>
      <w:r>
        <w:t xml:space="preserve">. Rapporto dell’agente «Joel» del</w:t>
      </w:r>
      <w:r>
        <w:t xml:space="preserve"> </w:t>
      </w:r>
      <w:r>
        <w:rPr>
          <w:bCs/>
          <w:b/>
        </w:rPr>
        <w:t xml:space="preserve">25 novembre 1966</w:t>
      </w:r>
      <w:r>
        <w:t xml:space="preserve"> </w:t>
      </w:r>
      <w:r>
        <w:t xml:space="preserve">sui contatti sud-est asiatici di Piero Buscaroli. Riunioni fondative di</w:t>
      </w:r>
      <w:r>
        <w:t xml:space="preserve"> </w:t>
      </w:r>
      <w:r>
        <w:rPr>
          <w:bCs/>
          <w:b/>
        </w:rPr>
        <w:t xml:space="preserve">gennaio e aprile 1967</w:t>
      </w:r>
      <w:r>
        <w:t xml:space="preserve"> </w:t>
      </w:r>
      <w:r>
        <w:t xml:space="preserve">presso Ordre et Tradition per la costituzione della rete mondiale di corrispondenti. Documento della fonte «Aristo» del</w:t>
      </w:r>
      <w:r>
        <w:t xml:space="preserve"> </w:t>
      </w:r>
      <w:r>
        <w:rPr>
          <w:bCs/>
          <w:b/>
        </w:rPr>
        <w:t xml:space="preserve">1967</w:t>
      </w:r>
      <w:r>
        <w:t xml:space="preserve">, prima enumerazione indipendente della geografia operativa. Corso sugli esplosivi tenuto a Roma nel</w:t>
      </w:r>
      <w:r>
        <w:t xml:space="preserve"> </w:t>
      </w:r>
      <w:r>
        <w:rPr>
          <w:bCs/>
          <w:b/>
        </w:rPr>
        <w:t xml:space="preserve">1967</w:t>
      </w:r>
      <w:r>
        <w:t xml:space="preserve"> </w:t>
      </w:r>
      <w:r>
        <w:t xml:space="preserve">con supervisione attribuita a Enzo Maria Dantini, Livello C. Assassinio di Eduardo Mondlane a Dar es Salaam il</w:t>
      </w:r>
      <w:r>
        <w:t xml:space="preserve"> </w:t>
      </w:r>
      <w:r>
        <w:rPr>
          <w:bCs/>
          <w:b/>
        </w:rPr>
        <w:t xml:space="preserve">3 febbraio 1969</w:t>
      </w:r>
      <w:r>
        <w:t xml:space="preserve">. Infiltrazione del FRELIMO da parte di Robert Leroy fra il</w:t>
      </w:r>
      <w:r>
        <w:t xml:space="preserve"> </w:t>
      </w:r>
      <w:r>
        <w:rPr>
          <w:bCs/>
          <w:b/>
        </w:rPr>
        <w:t xml:space="preserve">1968 e il 1969</w:t>
      </w:r>
      <w:r>
        <w:t xml:space="preserve">. Bollettino AGP numero 34 del</w:t>
      </w:r>
      <w:r>
        <w:t xml:space="preserve"> </w:t>
      </w:r>
      <w:r>
        <w:rPr>
          <w:bCs/>
          <w:b/>
        </w:rPr>
        <w:t xml:space="preserve">15 gennaio 1969</w:t>
      </w:r>
      <w:r>
        <w:t xml:space="preserve">. Documento «Notre Action Politique» del</w:t>
      </w:r>
      <w:r>
        <w:t xml:space="preserve"> </w:t>
      </w:r>
      <w:r>
        <w:rPr>
          <w:bCs/>
          <w:b/>
        </w:rPr>
        <w:t xml:space="preserve">novembre 1969</w:t>
      </w:r>
      <w:r>
        <w:t xml:space="preserve">, con la strategia di infiltrazione dei gruppi maoisti e filo-cinesi europei. Bollettino AGP numero 55 del</w:t>
      </w:r>
      <w:r>
        <w:t xml:space="preserve"> </w:t>
      </w:r>
      <w:r>
        <w:rPr>
          <w:bCs/>
          <w:b/>
        </w:rPr>
        <w:t xml:space="preserve">28 febbraio 1970</w:t>
      </w:r>
      <w:r>
        <w:t xml:space="preserve">. Prospetto guatemalteco di Guérin-Sérac del</w:t>
      </w:r>
      <w:r>
        <w:t xml:space="preserve"> </w:t>
      </w:r>
      <w:r>
        <w:rPr>
          <w:bCs/>
          <w:b/>
        </w:rPr>
        <w:t xml:space="preserve">1968</w:t>
      </w:r>
      <w:r>
        <w:t xml:space="preserve">, collegato da Christie al modello del programma Phoenix sudvietnamita. Assassinio di Amílcar Cabral a Conakry il</w:t>
      </w:r>
      <w:r>
        <w:t xml:space="preserve"> </w:t>
      </w:r>
      <w:r>
        <w:rPr>
          <w:bCs/>
          <w:b/>
        </w:rPr>
        <w:t xml:space="preserve">20 gennaio 1973</w:t>
      </w:r>
      <w:r>
        <w:t xml:space="preserve">. Rivoluzione dei Garofani dell’</w:t>
      </w:r>
      <w:r>
        <w:rPr>
          <w:bCs/>
          <w:b/>
        </w:rPr>
        <w:t xml:space="preserve">aprile 1974</w:t>
      </w:r>
      <w:r>
        <w:t xml:space="preserve">, con cessazione dell’agenzia e sequestro dell’archivio. Fase madrilena e frequentazione Delle Chiaie–Guérin-Sérac fra il</w:t>
      </w:r>
      <w:r>
        <w:t xml:space="preserve"> </w:t>
      </w:r>
      <w:r>
        <w:rPr>
          <w:bCs/>
          <w:b/>
        </w:rPr>
        <w:t xml:space="preserve">1974 e il 1976</w:t>
      </w:r>
      <w:r>
        <w:t xml:space="preserve"> </w:t>
      </w:r>
      <w:r>
        <w:t xml:space="preserve">secondo l’istruttoria Salvini. Dispersione del gruppo verso Cile e Argentina intorno al</w:t>
      </w:r>
      <w:r>
        <w:t xml:space="preserve"> </w:t>
      </w:r>
      <w:r>
        <w:rPr>
          <w:bCs/>
          <w:b/>
        </w:rPr>
        <w:t xml:space="preserve">1977</w:t>
      </w:r>
      <w:r>
        <w:t xml:space="preserve">. Morte di Guérin-Sérac il</w:t>
      </w:r>
      <w:r>
        <w:t xml:space="preserve"> </w:t>
      </w:r>
      <w:r>
        <w:rPr>
          <w:bCs/>
          <w:b/>
        </w:rPr>
        <w:t xml:space="preserve">9 marzo 2022</w:t>
      </w:r>
      <w:r>
        <w:t xml:space="preserve">.</w:t>
      </w:r>
    </w:p>
    <w:bookmarkEnd w:id="46"/>
    <w:bookmarkStart w:id="47" w:name="sequenza-italiana-ed-eversiva-1978-2025"/>
    <w:p>
      <w:pPr>
        <w:pStyle w:val="Heading3"/>
      </w:pPr>
      <w:r>
        <w:t xml:space="preserve">5.2 Sequenza italiana ed eversiva, 1978-2025</w:t>
      </w:r>
    </w:p>
    <w:p>
      <w:pPr>
        <w:pStyle w:val="FirstParagraph"/>
      </w:pPr>
      <w:r>
        <w:t xml:space="preserve">Fondazione di Terza Posizione fra la fine del</w:t>
      </w:r>
      <w:r>
        <w:t xml:space="preserve"> </w:t>
      </w:r>
      <w:r>
        <w:rPr>
          <w:bCs/>
          <w:b/>
        </w:rPr>
        <w:t xml:space="preserve">1978</w:t>
      </w:r>
      <w:r>
        <w:t xml:space="preserve"> </w:t>
      </w:r>
      <w:r>
        <w:t xml:space="preserve">e l’inizio del</w:t>
      </w:r>
      <w:r>
        <w:t xml:space="preserve"> </w:t>
      </w:r>
      <w:r>
        <w:rPr>
          <w:bCs/>
          <w:b/>
        </w:rPr>
        <w:t xml:space="preserve">1979</w:t>
      </w:r>
      <w:r>
        <w:t xml:space="preserve">. Arresto di Giuseppe Dimitri a Roma il</w:t>
      </w:r>
      <w:r>
        <w:t xml:space="preserve"> </w:t>
      </w:r>
      <w:r>
        <w:rPr>
          <w:bCs/>
          <w:b/>
        </w:rPr>
        <w:t xml:space="preserve">14 dicembre 1979</w:t>
      </w:r>
      <w:r>
        <w:t xml:space="preserve"> </w:t>
      </w:r>
      <w:r>
        <w:t xml:space="preserve">con rinvenimento del rapporto sul KGB in Europa. Strage della stazione di Bologna del</w:t>
      </w:r>
      <w:r>
        <w:t xml:space="preserve"> </w:t>
      </w:r>
      <w:r>
        <w:rPr>
          <w:bCs/>
          <w:b/>
        </w:rPr>
        <w:t xml:space="preserve">2 agosto 1980</w:t>
      </w:r>
      <w:r>
        <w:t xml:space="preserve">, ore 10:25, ottantacinque morti e oltre duecento feriti nella sala d’aspetto di seconda classe. Ventotto ordini di cattura della Procura di Bologna del</w:t>
      </w:r>
      <w:r>
        <w:t xml:space="preserve"> </w:t>
      </w:r>
      <w:r>
        <w:rPr>
          <w:bCs/>
          <w:b/>
        </w:rPr>
        <w:t xml:space="preserve">28 agosto 1980</w:t>
      </w:r>
      <w:r>
        <w:t xml:space="preserve">. Indicazione gelliana a Elio Cioppa di battere la pista internazionale nei</w:t>
      </w:r>
      <w:r>
        <w:t xml:space="preserve"> </w:t>
      </w:r>
      <w:r>
        <w:rPr>
          <w:bCs/>
          <w:b/>
        </w:rPr>
        <w:t xml:space="preserve">primi giorni di settembre 1980</w:t>
      </w:r>
      <w:r>
        <w:t xml:space="preserve">. Morte in cella di Nanni De Angelis il</w:t>
      </w:r>
      <w:r>
        <w:t xml:space="preserve"> </w:t>
      </w:r>
      <w:r>
        <w:rPr>
          <w:bCs/>
          <w:b/>
        </w:rPr>
        <w:t xml:space="preserve">5 ottobre 1980</w:t>
      </w:r>
      <w:r>
        <w:t xml:space="preserve">. Operazione «terrore sui treni» del</w:t>
      </w:r>
      <w:r>
        <w:t xml:space="preserve"> </w:t>
      </w:r>
      <w:r>
        <w:rPr>
          <w:bCs/>
          <w:b/>
        </w:rPr>
        <w:t xml:space="preserve">13 gennaio 1981</w:t>
      </w:r>
      <w:r>
        <w:t xml:space="preserve">, con valigia contenente esplosivo di composizione identica a quello bolognese e documenti intestati a cittadini stranieri fatta ritrovare su un treno Taranto-Milano. Attentato a Giovanni Paolo II del</w:t>
      </w:r>
      <w:r>
        <w:t xml:space="preserve"> </w:t>
      </w:r>
      <w:r>
        <w:rPr>
          <w:bCs/>
          <w:b/>
        </w:rPr>
        <w:t xml:space="preserve">13 maggio 1981</w:t>
      </w:r>
      <w:r>
        <w:t xml:space="preserve">. Arresto di Licio Gelli a Ginevra nel</w:t>
      </w:r>
      <w:r>
        <w:t xml:space="preserve"> </w:t>
      </w:r>
      <w:r>
        <w:rPr>
          <w:bCs/>
          <w:b/>
        </w:rPr>
        <w:t xml:space="preserve">settembre 1982</w:t>
      </w:r>
      <w:r>
        <w:t xml:space="preserve"> </w:t>
      </w:r>
      <w:r>
        <w:t xml:space="preserve">con sequestro dell’appunto «Bologna 525779». Scioglimento di Terza Posizione a Lignano Sabbiadoro nel</w:t>
      </w:r>
      <w:r>
        <w:t xml:space="preserve"> </w:t>
      </w:r>
      <w:r>
        <w:rPr>
          <w:bCs/>
          <w:b/>
        </w:rPr>
        <w:t xml:space="preserve">settembre 1982</w:t>
      </w:r>
      <w:r>
        <w:t xml:space="preserve">; fuga di Adinolfi e Spedicato a Parigi il</w:t>
      </w:r>
      <w:r>
        <w:t xml:space="preserve"> </w:t>
      </w:r>
      <w:r>
        <w:rPr>
          <w:bCs/>
          <w:b/>
        </w:rPr>
        <w:t xml:space="preserve">17 ottobre 1982</w:t>
      </w:r>
      <w:r>
        <w:t xml:space="preserve">. Apertura del processo ai militanti il</w:t>
      </w:r>
      <w:r>
        <w:t xml:space="preserve"> </w:t>
      </w:r>
      <w:r>
        <w:rPr>
          <w:bCs/>
          <w:b/>
        </w:rPr>
        <w:t xml:space="preserve">23 settembre 1984</w:t>
      </w:r>
      <w:r>
        <w:t xml:space="preserve">, con accoglimento della tesi del doppio livello sovversivo. Assoluzione per insufficienza di prove degli imputati bulgari il</w:t>
      </w:r>
      <w:r>
        <w:t xml:space="preserve"> </w:t>
      </w:r>
      <w:r>
        <w:rPr>
          <w:bCs/>
          <w:b/>
        </w:rPr>
        <w:t xml:space="preserve">29 marzo 1986</w:t>
      </w:r>
      <w:r>
        <w:t xml:space="preserve">. Viaggio in Libia del</w:t>
      </w:r>
      <w:r>
        <w:t xml:space="preserve"> </w:t>
      </w:r>
      <w:r>
        <w:rPr>
          <w:bCs/>
          <w:b/>
        </w:rPr>
        <w:t xml:space="preserve">1988</w:t>
      </w:r>
      <w:r>
        <w:t xml:space="preserve"> </w:t>
      </w:r>
      <w:r>
        <w:t xml:space="preserve">e fondazione dell’International Third Position nel</w:t>
      </w:r>
      <w:r>
        <w:t xml:space="preserve"> </w:t>
      </w:r>
      <w:r>
        <w:rPr>
          <w:bCs/>
          <w:b/>
        </w:rPr>
        <w:t xml:space="preserve">1989</w:t>
      </w:r>
      <w:r>
        <w:t xml:space="preserve">. Ergastolo a Paolo Bellini dalla Corte d’assise di Bologna nell’</w:t>
      </w:r>
      <w:r>
        <w:rPr>
          <w:bCs/>
          <w:b/>
        </w:rPr>
        <w:t xml:space="preserve">aprile 2022</w:t>
      </w:r>
      <w:r>
        <w:t xml:space="preserve">, con indicazione di mandanti e finanziatori deceduti. Sentenza d’appello su Gilberto Cavallini del</w:t>
      </w:r>
      <w:r>
        <w:t xml:space="preserve"> </w:t>
      </w:r>
      <w:r>
        <w:rPr>
          <w:bCs/>
          <w:b/>
        </w:rPr>
        <w:t xml:space="preserve">27 settembre 2023</w:t>
      </w:r>
      <w:r>
        <w:t xml:space="preserve">. Conferma definitiva della Cassazione su Cavallini il</w:t>
      </w:r>
      <w:r>
        <w:t xml:space="preserve"> </w:t>
      </w:r>
      <w:r>
        <w:rPr>
          <w:bCs/>
          <w:b/>
        </w:rPr>
        <w:t xml:space="preserve">15 gennaio 2025</w:t>
      </w:r>
      <w:r>
        <w:t xml:space="preserve">. Irrevocabilità della condanna a Bellini il</w:t>
      </w:r>
      <w:r>
        <w:t xml:space="preserve"> </w:t>
      </w:r>
      <w:r>
        <w:rPr>
          <w:bCs/>
          <w:b/>
        </w:rPr>
        <w:t xml:space="preserve">1° luglio 2025</w:t>
      </w:r>
      <w:r>
        <w:t xml:space="preserve">.</w:t>
      </w:r>
    </w:p>
    <w:bookmarkEnd w:id="47"/>
    <w:bookmarkStart w:id="48" w:name="Xb67f5d5d45df0c81b64e91301a3ca64c333ea87"/>
    <w:p>
      <w:pPr>
        <w:pStyle w:val="Heading3"/>
      </w:pPr>
      <w:r>
        <w:t xml:space="preserve">5.3 Sequenza dell’Africa australe e del Cono Sud</w:t>
      </w:r>
    </w:p>
    <w:p>
      <w:pPr>
        <w:pStyle w:val="FirstParagraph"/>
      </w:pPr>
      <w:r>
        <w:t xml:space="preserve">Colpo di Stato cileno dell’</w:t>
      </w:r>
      <w:r>
        <w:rPr>
          <w:bCs/>
          <w:b/>
        </w:rPr>
        <w:t xml:space="preserve">11 settembre 1973</w:t>
      </w:r>
      <w:r>
        <w:t xml:space="preserve">, cesura che rovescia l’allineamento del Paese da critico dell’apartheid a partner privilegiato di Pretoria. Apertura dell’ambasciata sudafricana a Santiago nel</w:t>
      </w:r>
      <w:r>
        <w:t xml:space="preserve"> </w:t>
      </w:r>
      <w:r>
        <w:rPr>
          <w:bCs/>
          <w:b/>
        </w:rPr>
        <w:t xml:space="preserve">1974</w:t>
      </w:r>
      <w:r>
        <w:t xml:space="preserve">. Riconoscimento brasiliano dell’Angola del MPLA l’</w:t>
      </w:r>
      <w:r>
        <w:rPr>
          <w:bCs/>
          <w:b/>
        </w:rPr>
        <w:t xml:space="preserve">11 novembre 1975</w:t>
      </w:r>
      <w:r>
        <w:t xml:space="preserve">. Costituzione formale dell’Operazione Condor a Santiago fra il</w:t>
      </w:r>
      <w:r>
        <w:t xml:space="preserve"> </w:t>
      </w:r>
      <w:r>
        <w:rPr>
          <w:bCs/>
          <w:b/>
        </w:rPr>
        <w:t xml:space="preserve">25 novembre e il 1° dicembre 1975</w:t>
      </w:r>
      <w:r>
        <w:t xml:space="preserve">, con Argentina, Bolivia, Cile, Paraguay e Uruguay, cui si aggiunsero poi Brasile, Perù ed Ecuador. Scandalo Muldergate fra il</w:t>
      </w:r>
      <w:r>
        <w:t xml:space="preserve"> </w:t>
      </w:r>
      <w:r>
        <w:rPr>
          <w:bCs/>
          <w:b/>
        </w:rPr>
        <w:t xml:space="preserve">1977 e il 1979</w:t>
      </w:r>
      <w:r>
        <w:t xml:space="preserve">, con dirottamento di sessantaquattro milioni di rand dal bilancio della difesa a partire dal 1973 e rivelazione tramite il rapporto trapelato dell’Auditor-General nel 1978. Risoluzione ONU</w:t>
      </w:r>
      <w:r>
        <w:t xml:space="preserve"> </w:t>
      </w:r>
      <w:r>
        <w:rPr>
          <w:bCs/>
          <w:b/>
        </w:rPr>
        <w:t xml:space="preserve">418 del 1977</w:t>
      </w:r>
      <w:r>
        <w:t xml:space="preserve">, embargo obbligatorio comprensivo del divieto di accordi di licenza per produzione e manutenzione. Risoluzione ONU</w:t>
      </w:r>
      <w:r>
        <w:t xml:space="preserve"> </w:t>
      </w:r>
      <w:r>
        <w:rPr>
          <w:bCs/>
          <w:b/>
        </w:rPr>
        <w:t xml:space="preserve">435 del 1978</w:t>
      </w:r>
      <w:r>
        <w:t xml:space="preserve"> </w:t>
      </w:r>
      <w:r>
        <w:t xml:space="preserve">sulla Namibia. Gemellaggio Reggio Emilia–ANC dal</w:t>
      </w:r>
      <w:r>
        <w:t xml:space="preserve"> </w:t>
      </w:r>
      <w:r>
        <w:rPr>
          <w:bCs/>
          <w:b/>
        </w:rPr>
        <w:t xml:space="preserve">1977-78</w:t>
      </w:r>
      <w:r>
        <w:t xml:space="preserve">, navi di aiuti Amanda nel</w:t>
      </w:r>
      <w:r>
        <w:t xml:space="preserve"> </w:t>
      </w:r>
      <w:r>
        <w:rPr>
          <w:bCs/>
          <w:b/>
        </w:rPr>
        <w:t xml:space="preserve">1980</w:t>
      </w:r>
      <w:r>
        <w:t xml:space="preserve"> </w:t>
      </w:r>
      <w:r>
        <w:t xml:space="preserve">e Rea Silvia nel</w:t>
      </w:r>
      <w:r>
        <w:t xml:space="preserve"> </w:t>
      </w:r>
      <w:r>
        <w:rPr>
          <w:bCs/>
          <w:b/>
        </w:rPr>
        <w:t xml:space="preserve">1984</w:t>
      </w:r>
      <w:r>
        <w:t xml:space="preserve">. Decreto brasiliano Sarney numero</w:t>
      </w:r>
      <w:r>
        <w:t xml:space="preserve"> </w:t>
      </w:r>
      <w:r>
        <w:rPr>
          <w:bCs/>
          <w:b/>
        </w:rPr>
        <w:t xml:space="preserve">91.524 del 9 agosto 1985</w:t>
      </w:r>
      <w:r>
        <w:t xml:space="preserve">, divieto di export di petrolio e armi verso il Sudafrica e verso il territorio della Namibia illegalmente occupato. Costituzione del Coordinamento Nazionale contro l’Apartheid nel</w:t>
      </w:r>
      <w:r>
        <w:t xml:space="preserve"> </w:t>
      </w:r>
      <w:r>
        <w:rPr>
          <w:bCs/>
          <w:b/>
        </w:rPr>
        <w:t xml:space="preserve">gennaio 1985</w:t>
      </w:r>
      <w:r>
        <w:t xml:space="preserve">. Risoluzione dell’Assemblea generale ONU</w:t>
      </w:r>
      <w:r>
        <w:t xml:space="preserve"> </w:t>
      </w:r>
      <w:r>
        <w:rPr>
          <w:bCs/>
          <w:b/>
        </w:rPr>
        <w:t xml:space="preserve">41/11 del 27 ottobre 1986</w:t>
      </w:r>
      <w:r>
        <w:t xml:space="preserve"> </w:t>
      </w:r>
      <w:r>
        <w:t xml:space="preserve">istitutiva della ZOPACAS, con gli Stati Uniti come unico voto contrario. FIDA di Santiago del</w:t>
      </w:r>
      <w:r>
        <w:t xml:space="preserve"> </w:t>
      </w:r>
      <w:r>
        <w:rPr>
          <w:bCs/>
          <w:b/>
        </w:rPr>
        <w:t xml:space="preserve">1986</w:t>
      </w:r>
      <w:r>
        <w:t xml:space="preserve"> </w:t>
      </w:r>
      <w:r>
        <w:t xml:space="preserve">con delegazione Armscor e visita di Adriaan Vlok. Invito di Rodolfo Stange in Sudafrica nel</w:t>
      </w:r>
      <w:r>
        <w:t xml:space="preserve"> </w:t>
      </w:r>
      <w:r>
        <w:rPr>
          <w:bCs/>
          <w:b/>
        </w:rPr>
        <w:t xml:space="preserve">1986</w:t>
      </w:r>
      <w:r>
        <w:t xml:space="preserve"> </w:t>
      </w:r>
      <w:r>
        <w:t xml:space="preserve">a spese di Armscor. Caso Pia Vesta del</w:t>
      </w:r>
      <w:r>
        <w:t xml:space="preserve"> </w:t>
      </w:r>
      <w:r>
        <w:rPr>
          <w:bCs/>
          <w:b/>
        </w:rPr>
        <w:t xml:space="preserve">1986</w:t>
      </w:r>
      <w:r>
        <w:t xml:space="preserve">. Intervista di Elio Pagani a Famiglia Cristiana nel</w:t>
      </w:r>
      <w:r>
        <w:t xml:space="preserve"> </w:t>
      </w:r>
      <w:r>
        <w:rPr>
          <w:bCs/>
          <w:b/>
        </w:rPr>
        <w:t xml:space="preserve">marzo 1988</w:t>
      </w:r>
      <w:r>
        <w:t xml:space="preserve">. Visita della squadra di guerra elettronica della SAAF in Cile nel</w:t>
      </w:r>
      <w:r>
        <w:t xml:space="preserve"> </w:t>
      </w:r>
      <w:r>
        <w:rPr>
          <w:bCs/>
          <w:b/>
        </w:rPr>
        <w:t xml:space="preserve">marzo 1988</w:t>
      </w:r>
      <w:r>
        <w:t xml:space="preserve"> </w:t>
      </w:r>
      <w:r>
        <w:t xml:space="preserve">per l’esame del sistema di ricognizione elettronica sviluppato con ausilio statunitense e collaudo mediante radar sovietici catturati in Namibia e Angola. Elezioni namibiane del</w:t>
      </w:r>
      <w:r>
        <w:t xml:space="preserve"> </w:t>
      </w:r>
      <w:r>
        <w:rPr>
          <w:bCs/>
          <w:b/>
        </w:rPr>
        <w:t xml:space="preserve">novembre 1989</w:t>
      </w:r>
      <w:r>
        <w:t xml:space="preserve"> </w:t>
      </w:r>
      <w:r>
        <w:t xml:space="preserve">e indipendenza del</w:t>
      </w:r>
      <w:r>
        <w:t xml:space="preserve"> </w:t>
      </w:r>
      <w:r>
        <w:rPr>
          <w:bCs/>
          <w:b/>
        </w:rPr>
        <w:t xml:space="preserve">21 marzo 1990</w:t>
      </w:r>
      <w:r>
        <w:t xml:space="preserve">. Legge italiana</w:t>
      </w:r>
      <w:r>
        <w:t xml:space="preserve"> </w:t>
      </w:r>
      <w:r>
        <w:rPr>
          <w:bCs/>
          <w:b/>
        </w:rPr>
        <w:t xml:space="preserve">185 del 1990</w:t>
      </w:r>
      <w:r>
        <w:t xml:space="preserve"> </w:t>
      </w:r>
      <w:r>
        <w:t xml:space="preserve">sul controllo dell’esportazione di materiali d’armamento. Viaggio di Mandela in Italia nel</w:t>
      </w:r>
      <w:r>
        <w:t xml:space="preserve"> </w:t>
      </w:r>
      <w:r>
        <w:rPr>
          <w:bCs/>
          <w:b/>
        </w:rPr>
        <w:t xml:space="preserve">1990</w:t>
      </w:r>
      <w:r>
        <w:t xml:space="preserve"> </w:t>
      </w:r>
      <w:r>
        <w:t xml:space="preserve">e in Brasile nell’</w:t>
      </w:r>
      <w:r>
        <w:rPr>
          <w:bCs/>
          <w:b/>
        </w:rPr>
        <w:t xml:space="preserve">agosto 1991</w:t>
      </w:r>
      <w:r>
        <w:t xml:space="preserve">. Ammissione di Ron Haywood sulla liquidazione delle società di facciata di Armscor nel</w:t>
      </w:r>
      <w:r>
        <w:t xml:space="preserve"> </w:t>
      </w:r>
      <w:r>
        <w:rPr>
          <w:bCs/>
          <w:b/>
        </w:rPr>
        <w:t xml:space="preserve">novembre 1997</w:t>
      </w:r>
      <w:r>
        <w:t xml:space="preserve">.</w:t>
      </w:r>
    </w:p>
    <w:bookmarkEnd w:id="48"/>
    <w:bookmarkStart w:id="49" w:name="sequenza-mediorientale-e-orientale"/>
    <w:p>
      <w:pPr>
        <w:pStyle w:val="Heading3"/>
      </w:pPr>
      <w:r>
        <w:t xml:space="preserve">5.4 Sequenza mediorientale e orientale</w:t>
      </w:r>
    </w:p>
    <w:p>
      <w:pPr>
        <w:pStyle w:val="FirstParagraph"/>
      </w:pPr>
      <w:r>
        <w:t xml:space="preserve">Fatwa anticomunista di Muhsin al-Hakim datata dal Carnegie Endowment al</w:t>
      </w:r>
      <w:r>
        <w:t xml:space="preserve"> </w:t>
      </w:r>
      <w:r>
        <w:rPr>
          <w:bCs/>
          <w:b/>
        </w:rPr>
        <w:t xml:space="preserve">12 febbraio 1960</w:t>
      </w:r>
      <w:r>
        <w:t xml:space="preserve">, con divieto di adesione al Partito Comunista Iracheno. Guerra civile nello Yemen del Nord fra il</w:t>
      </w:r>
      <w:r>
        <w:t xml:space="preserve"> </w:t>
      </w:r>
      <w:r>
        <w:rPr>
          <w:bCs/>
          <w:b/>
        </w:rPr>
        <w:t xml:space="preserve">1962 e il 1970</w:t>
      </w:r>
      <w:r>
        <w:t xml:space="preserve">, con mercenari francesi e belgi a fianco dei monarchici zayditi fra il</w:t>
      </w:r>
      <w:r>
        <w:t xml:space="preserve"> </w:t>
      </w:r>
      <w:r>
        <w:rPr>
          <w:bCs/>
          <w:b/>
        </w:rPr>
        <w:t xml:space="preserve">1963 e il 1964</w:t>
      </w:r>
      <w:r>
        <w:t xml:space="preserve">. Operazione Neptun del</w:t>
      </w:r>
      <w:r>
        <w:t xml:space="preserve"> </w:t>
      </w:r>
      <w:r>
        <w:rPr>
          <w:bCs/>
          <w:b/>
        </w:rPr>
        <w:t xml:space="preserve">1964</w:t>
      </w:r>
      <w:r>
        <w:t xml:space="preserve">, con affondamento nel Lago Nero di casse di documenti nazisti in parte forgiati e conferenza stampa del ministro Štrougal del</w:t>
      </w:r>
      <w:r>
        <w:t xml:space="preserve"> </w:t>
      </w:r>
      <w:r>
        <w:rPr>
          <w:bCs/>
          <w:b/>
        </w:rPr>
        <w:t xml:space="preserve">15 settembre 1964</w:t>
      </w:r>
      <w:r>
        <w:t xml:space="preserve">. Incidente 1-2-3 di Macao del</w:t>
      </w:r>
      <w:r>
        <w:t xml:space="preserve"> </w:t>
      </w:r>
      <w:r>
        <w:rPr>
          <w:bCs/>
          <w:b/>
        </w:rPr>
        <w:t xml:space="preserve">3 dicembre 1966</w:t>
      </w:r>
      <w:r>
        <w:t xml:space="preserve">, otto morti, con capitolazione del governatore Nobre de Carvalho il</w:t>
      </w:r>
      <w:r>
        <w:t xml:space="preserve"> </w:t>
      </w:r>
      <w:r>
        <w:rPr>
          <w:bCs/>
          <w:b/>
        </w:rPr>
        <w:t xml:space="preserve">29 gennaio 1967</w:t>
      </w:r>
      <w:r>
        <w:t xml:space="preserve"> </w:t>
      </w:r>
      <w:r>
        <w:t xml:space="preserve">ed espulsione del Kuomintang. Trattato di amicizia e cooperazione sovietico-iracheno firmato a Baghdad il</w:t>
      </w:r>
      <w:r>
        <w:t xml:space="preserve"> </w:t>
      </w:r>
      <w:r>
        <w:rPr>
          <w:bCs/>
          <w:b/>
        </w:rPr>
        <w:t xml:space="preserve">9 aprile 1972</w:t>
      </w:r>
      <w:r>
        <w:t xml:space="preserve">. Nazionalizzazione dell’Iraq Petroleum Company nel</w:t>
      </w:r>
      <w:r>
        <w:t xml:space="preserve"> </w:t>
      </w:r>
      <w:r>
        <w:rPr>
          <w:bCs/>
          <w:b/>
        </w:rPr>
        <w:t xml:space="preserve">giugno 1972</w:t>
      </w:r>
      <w:r>
        <w:t xml:space="preserve">. Riconoscimento degli alauiti come sciiti da parte di Musa al-Sadr nel</w:t>
      </w:r>
      <w:r>
        <w:t xml:space="preserve"> </w:t>
      </w:r>
      <w:r>
        <w:rPr>
          <w:bCs/>
          <w:b/>
        </w:rPr>
        <w:t xml:space="preserve">1973</w:t>
      </w:r>
      <w:r>
        <w:t xml:space="preserve">, con statuto formale contestato dalla storiografia recente. Fronte nazionale progressista iracheno del</w:t>
      </w:r>
      <w:r>
        <w:t xml:space="preserve"> </w:t>
      </w:r>
      <w:r>
        <w:rPr>
          <w:bCs/>
          <w:b/>
        </w:rPr>
        <w:t xml:space="preserve">luglio 1973</w:t>
      </w:r>
      <w:r>
        <w:t xml:space="preserve">. Riconoscimento portoghese della Repubblica Popolare Cinese il</w:t>
      </w:r>
      <w:r>
        <w:t xml:space="preserve"> </w:t>
      </w:r>
      <w:r>
        <w:rPr>
          <w:bCs/>
          <w:b/>
        </w:rPr>
        <w:t xml:space="preserve">6 gennaio 1975</w:t>
      </w:r>
      <w:r>
        <w:t xml:space="preserve"> </w:t>
      </w:r>
      <w:r>
        <w:t xml:space="preserve">e relazioni dall’</w:t>
      </w:r>
      <w:r>
        <w:rPr>
          <w:bCs/>
          <w:b/>
        </w:rPr>
        <w:t xml:space="preserve">8 febbraio 1979</w:t>
      </w:r>
      <w:r>
        <w:t xml:space="preserve">. Guerra civile libanese dal</w:t>
      </w:r>
      <w:r>
        <w:t xml:space="preserve"> </w:t>
      </w:r>
      <w:r>
        <w:rPr>
          <w:bCs/>
          <w:b/>
        </w:rPr>
        <w:t xml:space="preserve">1975</w:t>
      </w:r>
      <w:r>
        <w:t xml:space="preserve">, con assedio del campo di Tal al-Zaatar dal</w:t>
      </w:r>
      <w:r>
        <w:t xml:space="preserve"> </w:t>
      </w:r>
      <w:r>
        <w:rPr>
          <w:bCs/>
          <w:b/>
        </w:rPr>
        <w:t xml:space="preserve">22 giugno al 12 agosto 1976</w:t>
      </w:r>
      <w:r>
        <w:t xml:space="preserve">, cinquantadue giorni, circa milleseicento morti durante l’assedio secondo le stime enciclopediche. Svolta siriana pro-maronita del</w:t>
      </w:r>
      <w:r>
        <w:t xml:space="preserve"> </w:t>
      </w:r>
      <w:r>
        <w:rPr>
          <w:bCs/>
          <w:b/>
        </w:rPr>
        <w:t xml:space="preserve">giugno 1976</w:t>
      </w:r>
      <w:r>
        <w:t xml:space="preserve">. Trattato di amicizia sovietico-siriano del</w:t>
      </w:r>
      <w:r>
        <w:t xml:space="preserve"> </w:t>
      </w:r>
      <w:r>
        <w:rPr>
          <w:bCs/>
          <w:b/>
        </w:rPr>
        <w:t xml:space="preserve">1980</w:t>
      </w:r>
      <w:r>
        <w:t xml:space="preserve">. Consegna di Odfried Hepp alla Stasi al valico di Friedrichstraße nel</w:t>
      </w:r>
      <w:r>
        <w:t xml:space="preserve"> </w:t>
      </w:r>
      <w:r>
        <w:rPr>
          <w:bCs/>
          <w:b/>
        </w:rPr>
        <w:t xml:space="preserve">febbraio 1983</w:t>
      </w:r>
      <w:r>
        <w:t xml:space="preserve">. Arresto di Nureddin Kianuri e scioglimento del Tudeh il</w:t>
      </w:r>
      <w:r>
        <w:t xml:space="preserve"> </w:t>
      </w:r>
      <w:r>
        <w:rPr>
          <w:bCs/>
          <w:b/>
        </w:rPr>
        <w:t xml:space="preserve">6 febbraio 1983</w:t>
      </w:r>
      <w:r>
        <w:t xml:space="preserve">. Retrocessione di Macao il</w:t>
      </w:r>
      <w:r>
        <w:t xml:space="preserve"> </w:t>
      </w:r>
      <w:r>
        <w:rPr>
          <w:bCs/>
          <w:b/>
        </w:rPr>
        <w:t xml:space="preserve">20 dicembre 1999</w:t>
      </w:r>
      <w:r>
        <w:t xml:space="preserve">.</w:t>
      </w:r>
    </w:p>
    <w:p>
      <w:r>
        <w:pict>
          <v:rect style="width:0;height:1.5pt" o:hralign="center" o:hrstd="t" o:hr="t"/>
        </w:pict>
      </w:r>
    </w:p>
    <w:bookmarkEnd w:id="49"/>
    <w:bookmarkEnd w:id="50"/>
    <w:bookmarkStart w:id="53" w:name="X4afd32572139bdfb7f72d6962baa4e5ad16b1b8"/>
    <w:p>
      <w:pPr>
        <w:pStyle w:val="Heading2"/>
      </w:pPr>
      <w:r>
        <w:t xml:space="preserve">PARTE SESTA — CATALOGO DEI NODI-GEOGRAFICI (MODALITÀ 4)</w:t>
      </w:r>
    </w:p>
    <w:bookmarkStart w:id="51" w:name="zone-di-convergenza-primaria"/>
    <w:p>
      <w:pPr>
        <w:pStyle w:val="Heading3"/>
      </w:pPr>
      <w:r>
        <w:t xml:space="preserve">6.1 Zone di convergenza primaria</w:t>
      </w:r>
    </w:p>
    <w:p>
      <w:pPr>
        <w:pStyle w:val="FirstParagraph"/>
      </w:pPr>
      <w:r>
        <w:rPr>
          <w:bCs/>
          <w:b/>
        </w:rPr>
        <w:t xml:space="preserve">LISBONA</w:t>
      </w:r>
      <w:r>
        <w:t xml:space="preserve">, con la sede di rua das Pracas 13 e l’Arquivo Nacional Torre do Tombo. È la zona di convergenza a densità massima del corpus: vi coesistono nel medesimo perimetro urbano e nel medesimo decennio l’apparato di polizia politica dell’Estado Novo, la struttura privata di contro-sovversione, l’insegna religioso-tradizionalista Ordre et Tradition, la copertura giornalistica, e i canali verso l’Italia, la Spagna, la Germania Federale e l’Africa coloniale. Applicazione diretta del Pattern 10.</w:t>
      </w:r>
    </w:p>
    <w:p>
      <w:pPr>
        <w:pStyle w:val="BodyText"/>
      </w:pPr>
      <w:r>
        <w:rPr>
          <w:bCs/>
          <w:b/>
        </w:rPr>
        <w:t xml:space="preserve">MADRID</w:t>
      </w:r>
      <w:r>
        <w:t xml:space="preserve">, 1974-1977. Zona di convergenza secondaria: appartamenti-rifugio per latitanti, soprattutto italiani, secondo la formulazione dell’istruttoria Salvini; punto di transito verso Cile e Argentina; luogo, in fase successiva e non sovrapposta, del soggiorno di Adinolfi e Spedicato fra l’ottobre 1982 e il settembre 1984. La non sovrapposizione cronologica fra le due fasi madrilene è il dato che smonta l’ipotesi di filiazione diretta fra Aginter e Terza Posizione.</w:t>
      </w:r>
    </w:p>
    <w:p>
      <w:pPr>
        <w:pStyle w:val="BodyText"/>
      </w:pPr>
      <w:r>
        <w:rPr>
          <w:bCs/>
          <w:b/>
        </w:rPr>
        <w:t xml:space="preserve">LONDRA</w:t>
      </w:r>
      <w:r>
        <w:t xml:space="preserve">, dagli anni Ottanta. Zona di convergenza della rete terzaposizionista internazionale: Meeting Point, St. George Educational Trust, National Front, International Third Position, canali verso Polonia, Romania, Spagna e Grecia.</w:t>
      </w:r>
    </w:p>
    <w:p>
      <w:pPr>
        <w:pStyle w:val="BodyText"/>
      </w:pPr>
      <w:r>
        <w:rPr>
          <w:bCs/>
          <w:b/>
        </w:rPr>
        <w:t xml:space="preserve">SANTIAGO DEL CILE</w:t>
      </w:r>
      <w:r>
        <w:t xml:space="preserve">, 1974-1990. Zona di convergenza fra apparati repressivi, industria bellica e diplomazia dei paria: ambasciata sudafricana dal 1974, conferenza di intelligence a cadenza semestrale, FIDA con delegazioni Armscor, sede costitutiva dell’Operazione Condor.</w:t>
      </w:r>
    </w:p>
    <w:bookmarkEnd w:id="51"/>
    <w:bookmarkStart w:id="52" w:name="zone-operative-e-teatri"/>
    <w:p>
      <w:pPr>
        <w:pStyle w:val="Heading3"/>
      </w:pPr>
      <w:r>
        <w:t xml:space="preserve">6.2 Zone operative e teatri</w:t>
      </w:r>
    </w:p>
    <w:p>
      <w:pPr>
        <w:pStyle w:val="FirstParagraph"/>
      </w:pPr>
      <w:r>
        <w:rPr>
          <w:bCs/>
          <w:b/>
        </w:rPr>
        <w:t xml:space="preserve">Dar es Salaam</w:t>
      </w:r>
      <w:r>
        <w:t xml:space="preserve"> </w:t>
      </w:r>
      <w:r>
        <w:t xml:space="preserve">(assassinio Mondlane, 1969);</w:t>
      </w:r>
      <w:r>
        <w:t xml:space="preserve"> </w:t>
      </w:r>
      <w:r>
        <w:rPr>
          <w:bCs/>
          <w:b/>
        </w:rPr>
        <w:t xml:space="preserve">Conakry</w:t>
      </w:r>
      <w:r>
        <w:t xml:space="preserve"> </w:t>
      </w:r>
      <w:r>
        <w:t xml:space="preserve">(assassinio Cabral, 1973, con l’ambasciata polacca come ultimo luogo frequentato dalla vittima);</w:t>
      </w:r>
      <w:r>
        <w:t xml:space="preserve"> </w:t>
      </w:r>
      <w:r>
        <w:rPr>
          <w:bCs/>
          <w:b/>
        </w:rPr>
        <w:t xml:space="preserve">Lourenço Marques</w:t>
      </w:r>
      <w:r>
        <w:t xml:space="preserve"> </w:t>
      </w:r>
      <w:r>
        <w:t xml:space="preserve">(ditta venditrice delle batterie dei detonatori dell’ordigno Mondlane, fabbricate a</w:t>
      </w:r>
      <w:r>
        <w:t xml:space="preserve"> </w:t>
      </w:r>
      <w:r>
        <w:rPr>
          <w:bCs/>
          <w:b/>
        </w:rPr>
        <w:t xml:space="preserve">Osaka</w:t>
      </w:r>
      <w:r>
        <w:t xml:space="preserve">: nodo geografico che genera l’intera Unità 9 mai eseguita);</w:t>
      </w:r>
      <w:r>
        <w:t xml:space="preserve"> </w:t>
      </w:r>
      <w:r>
        <w:rPr>
          <w:bCs/>
          <w:b/>
        </w:rPr>
        <w:t xml:space="preserve">Maputo</w:t>
      </w:r>
      <w:r>
        <w:t xml:space="preserve">,</w:t>
      </w:r>
      <w:r>
        <w:t xml:space="preserve"> </w:t>
      </w:r>
      <w:r>
        <w:rPr>
          <w:bCs/>
          <w:b/>
        </w:rPr>
        <w:t xml:space="preserve">Luanda</w:t>
      </w:r>
      <w:r>
        <w:t xml:space="preserve">,</w:t>
      </w:r>
      <w:r>
        <w:t xml:space="preserve"> </w:t>
      </w:r>
      <w:r>
        <w:rPr>
          <w:bCs/>
          <w:b/>
        </w:rPr>
        <w:t xml:space="preserve">Bissau</w:t>
      </w:r>
      <w:r>
        <w:t xml:space="preserve">,</w:t>
      </w:r>
      <w:r>
        <w:t xml:space="preserve"> </w:t>
      </w:r>
      <w:r>
        <w:rPr>
          <w:bCs/>
          <w:b/>
        </w:rPr>
        <w:t xml:space="preserve">Katanga</w:t>
      </w:r>
      <w:r>
        <w:t xml:space="preserve">,</w:t>
      </w:r>
      <w:r>
        <w:t xml:space="preserve"> </w:t>
      </w:r>
      <w:r>
        <w:rPr>
          <w:bCs/>
          <w:b/>
        </w:rPr>
        <w:t xml:space="preserve">Congo-Brazzaville</w:t>
      </w:r>
      <w:r>
        <w:t xml:space="preserve">,</w:t>
      </w:r>
      <w:r>
        <w:t xml:space="preserve"> </w:t>
      </w:r>
      <w:r>
        <w:rPr>
          <w:bCs/>
          <w:b/>
        </w:rPr>
        <w:t xml:space="preserve">Guatemala</w:t>
      </w:r>
      <w:r>
        <w:t xml:space="preserve"> </w:t>
      </w:r>
      <w:r>
        <w:t xml:space="preserve">(teatri dei quadri Aginter);</w:t>
      </w:r>
      <w:r>
        <w:t xml:space="preserve"> </w:t>
      </w:r>
      <w:r>
        <w:rPr>
          <w:bCs/>
          <w:b/>
        </w:rPr>
        <w:t xml:space="preserve">Beirut</w:t>
      </w:r>
      <w:r>
        <w:t xml:space="preserve"> </w:t>
      </w:r>
      <w:r>
        <w:t xml:space="preserve">e</w:t>
      </w:r>
      <w:r>
        <w:t xml:space="preserve"> </w:t>
      </w:r>
      <w:r>
        <w:rPr>
          <w:bCs/>
          <w:b/>
        </w:rPr>
        <w:t xml:space="preserve">Tal al-Zaatar</w:t>
      </w:r>
      <w:r>
        <w:t xml:space="preserve"> </w:t>
      </w:r>
      <w:r>
        <w:t xml:space="preserve">(1975-76);</w:t>
      </w:r>
      <w:r>
        <w:t xml:space="preserve"> </w:t>
      </w:r>
      <w:r>
        <w:rPr>
          <w:bCs/>
          <w:b/>
        </w:rPr>
        <w:t xml:space="preserve">Macao</w:t>
      </w:r>
      <w:r>
        <w:t xml:space="preserve"> </w:t>
      </w:r>
      <w:r>
        <w:t xml:space="preserve">(incidente 1-2-3);</w:t>
      </w:r>
      <w:r>
        <w:t xml:space="preserve"> </w:t>
      </w:r>
      <w:r>
        <w:rPr>
          <w:bCs/>
          <w:b/>
        </w:rPr>
        <w:t xml:space="preserve">Pretoria</w:t>
      </w:r>
      <w:r>
        <w:t xml:space="preserve">,</w:t>
      </w:r>
      <w:r>
        <w:t xml:space="preserve"> </w:t>
      </w:r>
      <w:r>
        <w:rPr>
          <w:bCs/>
          <w:b/>
        </w:rPr>
        <w:t xml:space="preserve">Johannesburg</w:t>
      </w:r>
      <w:r>
        <w:t xml:space="preserve">,</w:t>
      </w:r>
      <w:r>
        <w:t xml:space="preserve"> </w:t>
      </w:r>
      <w:r>
        <w:rPr>
          <w:bCs/>
          <w:b/>
        </w:rPr>
        <w:t xml:space="preserve">Windhoek</w:t>
      </w:r>
      <w:r>
        <w:t xml:space="preserve">;</w:t>
      </w:r>
      <w:r>
        <w:t xml:space="preserve"> </w:t>
      </w:r>
      <w:r>
        <w:rPr>
          <w:bCs/>
          <w:b/>
        </w:rPr>
        <w:t xml:space="preserve">Brasília</w:t>
      </w:r>
      <w:r>
        <w:t xml:space="preserve"> </w:t>
      </w:r>
      <w:r>
        <w:t xml:space="preserve">e</w:t>
      </w:r>
      <w:r>
        <w:t xml:space="preserve"> </w:t>
      </w:r>
      <w:r>
        <w:rPr>
          <w:bCs/>
          <w:b/>
        </w:rPr>
        <w:t xml:space="preserve">Rio de Janeiro</w:t>
      </w:r>
      <w:r>
        <w:t xml:space="preserve">;</w:t>
      </w:r>
      <w:r>
        <w:t xml:space="preserve"> </w:t>
      </w:r>
      <w:r>
        <w:rPr>
          <w:bCs/>
          <w:b/>
        </w:rPr>
        <w:t xml:space="preserve">Reggio Emilia</w:t>
      </w:r>
      <w:r>
        <w:t xml:space="preserve"> </w:t>
      </w:r>
      <w:r>
        <w:t xml:space="preserve">(unicum della solidarietà italiana, con l’Archivio Soncini-Ganapini);</w:t>
      </w:r>
      <w:r>
        <w:t xml:space="preserve"> </w:t>
      </w:r>
      <w:r>
        <w:rPr>
          <w:bCs/>
          <w:b/>
        </w:rPr>
        <w:t xml:space="preserve">Bologna</w:t>
      </w:r>
      <w:r>
        <w:t xml:space="preserve">, stazione centrale;</w:t>
      </w:r>
      <w:r>
        <w:t xml:space="preserve"> </w:t>
      </w:r>
      <w:r>
        <w:rPr>
          <w:bCs/>
          <w:b/>
        </w:rPr>
        <w:t xml:space="preserve">Roma</w:t>
      </w:r>
      <w:r>
        <w:t xml:space="preserve">, quartiere Trieste (arresto Dimitri) e Libreria Romana (nascita di Lotta Studentesca);</w:t>
      </w:r>
      <w:r>
        <w:t xml:space="preserve"> </w:t>
      </w:r>
      <w:r>
        <w:rPr>
          <w:bCs/>
          <w:b/>
        </w:rPr>
        <w:t xml:space="preserve">Parigi</w:t>
      </w:r>
      <w:r>
        <w:t xml:space="preserve"> </w:t>
      </w:r>
      <w:r>
        <w:t xml:space="preserve">(incontro Delle Chiaie-Dimitri, 1979; rifugio di Adinolfi e Spedicato, 1982);</w:t>
      </w:r>
      <w:r>
        <w:t xml:space="preserve"> </w:t>
      </w:r>
      <w:r>
        <w:rPr>
          <w:bCs/>
          <w:b/>
        </w:rPr>
        <w:t xml:space="preserve">Ginevra</w:t>
      </w:r>
      <w:r>
        <w:t xml:space="preserve"> </w:t>
      </w:r>
      <w:r>
        <w:t xml:space="preserve">(arresto Gelli, 1982);</w:t>
      </w:r>
      <w:r>
        <w:t xml:space="preserve"> </w:t>
      </w:r>
      <w:r>
        <w:rPr>
          <w:bCs/>
          <w:b/>
        </w:rPr>
        <w:t xml:space="preserve">Lignano Sabbiadoro</w:t>
      </w:r>
      <w:r>
        <w:t xml:space="preserve"> </w:t>
      </w:r>
      <w:r>
        <w:t xml:space="preserve">(scioglimento di Terza Posizione, 1982);</w:t>
      </w:r>
      <w:r>
        <w:t xml:space="preserve"> </w:t>
      </w:r>
      <w:r>
        <w:rPr>
          <w:bCs/>
          <w:b/>
        </w:rPr>
        <w:t xml:space="preserve">Berlino Est</w:t>
      </w:r>
      <w:r>
        <w:t xml:space="preserve"> </w:t>
      </w:r>
      <w:r>
        <w:t xml:space="preserve">e valico di</w:t>
      </w:r>
      <w:r>
        <w:t xml:space="preserve"> </w:t>
      </w:r>
      <w:r>
        <w:rPr>
          <w:bCs/>
          <w:b/>
        </w:rPr>
        <w:t xml:space="preserve">Friedrichstraße</w:t>
      </w:r>
      <w:r>
        <w:t xml:space="preserve">;</w:t>
      </w:r>
      <w:r>
        <w:t xml:space="preserve"> </w:t>
      </w:r>
      <w:r>
        <w:rPr>
          <w:bCs/>
          <w:b/>
        </w:rPr>
        <w:t xml:space="preserve">Praga</w:t>
      </w:r>
      <w:r>
        <w:t xml:space="preserve"> </w:t>
      </w:r>
      <w:r>
        <w:t xml:space="preserve">e il</w:t>
      </w:r>
      <w:r>
        <w:t xml:space="preserve"> </w:t>
      </w:r>
      <w:r>
        <w:rPr>
          <w:bCs/>
          <w:b/>
        </w:rPr>
        <w:t xml:space="preserve">Lago Nero</w:t>
      </w:r>
      <w:r>
        <w:t xml:space="preserve"> </w:t>
      </w:r>
      <w:r>
        <w:t xml:space="preserve">boemo;</w:t>
      </w:r>
      <w:r>
        <w:t xml:space="preserve"> </w:t>
      </w:r>
      <w:r>
        <w:rPr>
          <w:bCs/>
          <w:b/>
        </w:rPr>
        <w:t xml:space="preserve">Lipsia</w:t>
      </w:r>
      <w:r>
        <w:t xml:space="preserve"> </w:t>
      </w:r>
      <w:r>
        <w:t xml:space="preserve">(esilio del Tudeh);</w:t>
      </w:r>
      <w:r>
        <w:t xml:space="preserve"> </w:t>
      </w:r>
      <w:r>
        <w:rPr>
          <w:bCs/>
          <w:b/>
        </w:rPr>
        <w:t xml:space="preserve">Baku</w:t>
      </w:r>
      <w:r>
        <w:t xml:space="preserve">;</w:t>
      </w:r>
      <w:r>
        <w:t xml:space="preserve"> </w:t>
      </w:r>
      <w:r>
        <w:rPr>
          <w:bCs/>
          <w:b/>
        </w:rPr>
        <w:t xml:space="preserve">Najaf</w:t>
      </w:r>
      <w:r>
        <w:t xml:space="preserve">;</w:t>
      </w:r>
      <w:r>
        <w:t xml:space="preserve"> </w:t>
      </w:r>
      <w:r>
        <w:rPr>
          <w:bCs/>
          <w:b/>
        </w:rPr>
        <w:t xml:space="preserve">Heidelberg</w:t>
      </w:r>
      <w:r>
        <w:t xml:space="preserve"> </w:t>
      </w:r>
      <w:r>
        <w:t xml:space="preserve">(fondazione di Der III. Weg, 2013);</w:t>
      </w:r>
      <w:r>
        <w:t xml:space="preserve"> </w:t>
      </w:r>
      <w:r>
        <w:rPr>
          <w:bCs/>
          <w:b/>
        </w:rPr>
        <w:t xml:space="preserve">Taipei</w:t>
      </w:r>
      <w:r>
        <w:t xml:space="preserve"> </w:t>
      </w:r>
      <w:r>
        <w:t xml:space="preserve">(fondazione WACL, 1966);</w:t>
      </w:r>
      <w:r>
        <w:t xml:space="preserve"> </w:t>
      </w:r>
      <w:r>
        <w:rPr>
          <w:bCs/>
          <w:b/>
        </w:rPr>
        <w:t xml:space="preserve">Guadalajara</w:t>
      </w:r>
      <w:r>
        <w:t xml:space="preserve"> </w:t>
      </w:r>
      <w:r>
        <w:t xml:space="preserve">(costituzione CAL, 1972);</w:t>
      </w:r>
      <w:r>
        <w:t xml:space="preserve"> </w:t>
      </w:r>
      <w:r>
        <w:rPr>
          <w:bCs/>
          <w:b/>
        </w:rPr>
        <w:t xml:space="preserve">Ploubezre</w:t>
      </w:r>
      <w:r>
        <w:t xml:space="preserve"> </w:t>
      </w:r>
      <w:r>
        <w:t xml:space="preserve">e</w:t>
      </w:r>
      <w:r>
        <w:t xml:space="preserve"> </w:t>
      </w:r>
      <w:r>
        <w:rPr>
          <w:bCs/>
          <w:b/>
        </w:rPr>
        <w:t xml:space="preserve">Le Revest-les-Eaux</w:t>
      </w:r>
      <w:r>
        <w:t xml:space="preserve"> </w:t>
      </w:r>
      <w:r>
        <w:t xml:space="preserve">(estremi biografici del nodo apicale).</w:t>
      </w:r>
    </w:p>
    <w:p>
      <w:r>
        <w:pict>
          <v:rect style="width:0;height:1.5pt" o:hralign="center" o:hrstd="t" o:hr="t"/>
        </w:pict>
      </w:r>
    </w:p>
    <w:bookmarkEnd w:id="52"/>
    <w:bookmarkEnd w:id="53"/>
    <w:bookmarkStart w:id="58" w:name="X6fe09be01299b809419fb7ffb9c876500ef80f9"/>
    <w:p>
      <w:pPr>
        <w:pStyle w:val="Heading2"/>
      </w:pPr>
      <w:r>
        <w:t xml:space="preserve">PARTE SETTIMA — RETICOLO DELLE CO-OCCORRENZE E ARCHI INTER-DOMINIO</w:t>
      </w:r>
    </w:p>
    <w:bookmarkStart w:id="54" w:name="coppia-dominante-dominio-3-dominio-7"/>
    <w:p>
      <w:pPr>
        <w:pStyle w:val="Heading3"/>
      </w:pPr>
      <w:r>
        <w:t xml:space="preserve">7.1 Coppia dominante: Dominio 3 × Dominio 7</w:t>
      </w:r>
    </w:p>
    <w:p>
      <w:pPr>
        <w:pStyle w:val="FirstParagraph"/>
      </w:pPr>
      <w:r>
        <w:t xml:space="preserve">L’arco Intelligence × Terrorismo è la coppia a densità massima dell’intero corpus e ne costituisce l’asse portante. Vi si iscrivono: il trasferimento di competenze tecniche in materia di esplosivi da un agente di Aginter verso Ordine Nuovo e Avanguardia Nazionale fra il 1966 e il 1974, documentato dalla storiografia francese; la doppia appartenenza di Delle Chiaie ad Avanguardia Nazionale e ad Aginter; la funzione di addestramento alla contro-sovversione come seconda delle quattro funzioni codificate dal rapporto SDCI; l’infiltrazione dei gruppi maoisti europei prevista da «Notre Action Politique». Tipologia prevalente dell’arco secondo la tassonomia della Nota Metodologica: arco di strumentalizzazione e arco di infiltrazione. Livello A.</w:t>
      </w:r>
    </w:p>
    <w:bookmarkEnd w:id="54"/>
    <w:bookmarkStart w:id="55" w:name="coppie-ad-alta-densità"/>
    <w:p>
      <w:pPr>
        <w:pStyle w:val="Heading3"/>
      </w:pPr>
      <w:r>
        <w:t xml:space="preserve">7.2 Coppie ad alta densità</w:t>
      </w:r>
    </w:p>
    <w:p>
      <w:pPr>
        <w:pStyle w:val="FirstParagraph"/>
      </w:pPr>
      <w:r>
        <w:rPr>
          <w:bCs/>
          <w:b/>
        </w:rPr>
        <w:t xml:space="preserve">Dominio 3 × Dominio 8</w:t>
      </w:r>
      <w:r>
        <w:t xml:space="preserve"> </w:t>
      </w:r>
      <w:r>
        <w:t xml:space="preserve">(Intelligence × Media). Aginter Press è per definizione un arco di questo tipo: agenzia di stampa come copertura di struttura di intelligence. Vi si aggiungono l’agenzia Oltremare, la rivista Confidentiel, il Club of Ten e Le Monde Moderne nel Muldergate, le veline sovietiche e le campagne di Literaturnaja Gazeta. Livello A.</w:t>
      </w:r>
    </w:p>
    <w:p>
      <w:pPr>
        <w:pStyle w:val="BodyText"/>
      </w:pPr>
      <w:r>
        <w:rPr>
          <w:bCs/>
          <w:b/>
        </w:rPr>
        <w:t xml:space="preserve">Dominio 6 × Dominio 9</w:t>
      </w:r>
      <w:r>
        <w:t xml:space="preserve"> </w:t>
      </w:r>
      <w:r>
        <w:t xml:space="preserve">(Economia × Forze Armate). Asse Aermacchi–Atlas–Armscor; asse Industrias Cardoen–SADF; società di facciata dell’Armscor per l’elusione dell’embargo. Livello A.</w:t>
      </w:r>
    </w:p>
    <w:p>
      <w:pPr>
        <w:pStyle w:val="BodyText"/>
      </w:pPr>
      <w:r>
        <w:rPr>
          <w:bCs/>
          <w:b/>
        </w:rPr>
        <w:t xml:space="preserve">Dominio 3 × Dominio 9</w:t>
      </w:r>
      <w:r>
        <w:t xml:space="preserve"> </w:t>
      </w:r>
      <w:r>
        <w:t xml:space="preserve">(Intelligence × Forze Armate). Conferenza di intelligence semestrale Cile–Sudafrica; invio di piloti cileni come traduttori al confine namibo-angolano; visita della squadra di guerra elettronica SAAF del marzo 1988; addetto militare SADF a Santiago con conferenze sulla polizia di sicurezza. Livello A.</w:t>
      </w:r>
    </w:p>
    <w:p>
      <w:pPr>
        <w:pStyle w:val="BodyText"/>
      </w:pPr>
      <w:r>
        <w:rPr>
          <w:bCs/>
          <w:b/>
        </w:rPr>
        <w:t xml:space="preserve">Dominio 4 × Dominio 3 × Dominio 2</w:t>
      </w:r>
      <w:r>
        <w:t xml:space="preserve"> </w:t>
      </w:r>
      <w:r>
        <w:t xml:space="preserve">(Massoneria × Intelligence × Politica). Il triangolo gelliano: piduisti ai vertici di SISDE e SISMI (Grassini, Cioppa, Santovito, Musumeci) impegnati nella costruzione delle piste estere sulla strage di Bologna. Livello A per la qualificazione giudiziaria dei depistaggi.</w:t>
      </w:r>
    </w:p>
    <w:p>
      <w:pPr>
        <w:pStyle w:val="BodyText"/>
      </w:pPr>
      <w:r>
        <w:rPr>
          <w:bCs/>
          <w:b/>
        </w:rPr>
        <w:t xml:space="preserve">Dominio 7 × Dominio 6</w:t>
      </w:r>
      <w:r>
        <w:t xml:space="preserve"> </w:t>
      </w:r>
      <w:r>
        <w:t xml:space="preserve">(Terrorismo × Economia). Flusso finanziario di circa quindici milioni di dollari transitato per il Banco Ambrosiano Andino secondo l’appunto sequestrato a Gelli; rapine dell’ambiente di Terza Posizione a finanziamento delle latitanze, incluse quelle di esuli come Delle Chiaie; imprese londinesi di Fiore e Morsello. Livello A per il primo segmento, Livello B per il secondo.</w:t>
      </w:r>
    </w:p>
    <w:p>
      <w:pPr>
        <w:pStyle w:val="BodyText"/>
      </w:pPr>
      <w:r>
        <w:rPr>
          <w:bCs/>
          <w:b/>
        </w:rPr>
        <w:t xml:space="preserve">Dominio 10 × Dominio 7</w:t>
      </w:r>
      <w:r>
        <w:t xml:space="preserve"> </w:t>
      </w:r>
      <w:r>
        <w:t xml:space="preserve">(Magistratura × Terrorismo). Istruttoria Salvini; processo del 1984 con la tesi del doppio livello sovversivo; sentenze bolognesi fino alla Cassazione del 2025; processo e assoluzione degli imputati bulgari nel 1986; Commissione stragi e Commissione Mitrokhin. Livello A.</w:t>
      </w:r>
    </w:p>
    <w:bookmarkEnd w:id="55"/>
    <w:bookmarkStart w:id="56" w:name="X720f592f738a5e6751494f0f2c38b84ea4cf254"/>
    <w:p>
      <w:pPr>
        <w:pStyle w:val="Heading3"/>
      </w:pPr>
      <w:r>
        <w:t xml:space="preserve">7.3 Coppie a bassa densità ma alta rilevanza diagnostica</w:t>
      </w:r>
    </w:p>
    <w:p>
      <w:pPr>
        <w:pStyle w:val="FirstParagraph"/>
      </w:pPr>
      <w:r>
        <w:rPr>
          <w:bCs/>
          <w:b/>
        </w:rPr>
        <w:t xml:space="preserve">Dominio 5 × Dominio 2</w:t>
      </w:r>
      <w:r>
        <w:t xml:space="preserve"> </w:t>
      </w:r>
      <w:r>
        <w:t xml:space="preserve">(Religione × Politica) nel teatro mediorientale: il paradosso di uno sciismo clericale strutturalmente anticomunista — fatwa di al-Hakim, opera dottrinale di Baqir al-Sadr, fondazione di Da’wa — che avrebbe potuto costituire alleato oggettivo dell’anticomunismo occidentale e che non risulta mai intersecare Aginter. La rarità dell’arco è essa stessa il dato analitico.</w:t>
      </w:r>
    </w:p>
    <w:p>
      <w:pPr>
        <w:pStyle w:val="BodyText"/>
      </w:pPr>
      <w:r>
        <w:rPr>
          <w:bCs/>
          <w:b/>
        </w:rPr>
        <w:t xml:space="preserve">Dominio 5 × Dominio 7</w:t>
      </w:r>
      <w:r>
        <w:t xml:space="preserve"> </w:t>
      </w:r>
      <w:r>
        <w:t xml:space="preserve">(Religione × Terrorismo): impronta di cattolicesimo integralista di Ordre et Tradition; gravitazione di parte della dirigenza ITP attorno alla Fraternità San Pio X; modello mistico-militante codreanista del cuib. Livello B.</w:t>
      </w:r>
    </w:p>
    <w:p>
      <w:pPr>
        <w:pStyle w:val="BodyText"/>
      </w:pPr>
      <w:r>
        <w:rPr>
          <w:bCs/>
          <w:b/>
        </w:rPr>
        <w:t xml:space="preserve">Dominio 3 × Dominio 5</w:t>
      </w:r>
      <w:r>
        <w:t xml:space="preserve"> </w:t>
      </w:r>
      <w:r>
        <w:t xml:space="preserve">(Intelligence × Religione): attentato a Giovanni Paolo II e sua controversa attribuzione; assenza di qualsiasi ruolo documentato di Aginter. Livello C per le attribuzioni, Livello A per l’assenza del nesso Aginter.</w:t>
      </w:r>
    </w:p>
    <w:bookmarkEnd w:id="56"/>
    <w:bookmarkStart w:id="57" w:name="archi-di-transito-documentati"/>
    <w:p>
      <w:pPr>
        <w:pStyle w:val="Heading3"/>
      </w:pPr>
      <w:r>
        <w:t xml:space="preserve">7.4 Archi di transito documentati</w:t>
      </w:r>
    </w:p>
    <w:p>
      <w:pPr>
        <w:pStyle w:val="FirstParagraph"/>
      </w:pPr>
      <w:r>
        <w:t xml:space="preserve">Quattro flussi attraversano più domini secondo la tipologia dell’arco di transito.</w:t>
      </w:r>
    </w:p>
    <w:p>
      <w:pPr>
        <w:pStyle w:val="BodyText"/>
      </w:pPr>
      <w:r>
        <w:t xml:space="preserve">Primo flusso, uomini: OAS francese, poi Lisbona e Aginter, poi teatri africani, poi Madrid, poi Cile e Argentina. Attraversa i Domini 9, 3, 7 e 2 lungo un arco di quindici anni.</w:t>
      </w:r>
    </w:p>
    <w:p>
      <w:pPr>
        <w:pStyle w:val="BodyText"/>
      </w:pPr>
      <w:r>
        <w:t xml:space="preserve">Secondo flusso, armamenti: industria italiana, licenza, produzione locale sudafricana, impiego operativo nella guerra di confine. Attraversa i Domini 6, 9 e 2, con violazione documentata del regime sanzionatorio internazionale.</w:t>
      </w:r>
    </w:p>
    <w:p>
      <w:pPr>
        <w:pStyle w:val="BodyText"/>
      </w:pPr>
      <w:r>
        <w:t xml:space="preserve">Terzo flusso, denaro: Banco Ambrosiano Andino, circuito ginevrino, esecutori della strage. Attraversa i Domini 6, 4 e 7.</w:t>
      </w:r>
    </w:p>
    <w:p>
      <w:pPr>
        <w:pStyle w:val="BodyText"/>
      </w:pPr>
      <w:r>
        <w:t xml:space="preserve">Quarto flusso, componentistica: fabbricazione a Osaka, vendita da parte di una ditta di Lourenço Marques, impiego nell’ordigno di Dar es Salaam. Attraversa i Domini 6, 3 e 7 ed è l’unico flusso del corpus a toccare l’Asia orientale — con la precisazione dirimente che si tratta di componentistica commerciale giapponese reperita in Africa e non di coinvolgimento giapponese.</w:t>
      </w:r>
    </w:p>
    <w:p>
      <w:r>
        <w:pict>
          <v:rect style="width:0;height:1.5pt" o:hralign="center" o:hrstd="t" o:hr="t"/>
        </w:pict>
      </w:r>
    </w:p>
    <w:bookmarkEnd w:id="57"/>
    <w:bookmarkEnd w:id="58"/>
    <w:bookmarkStart w:id="70" w:name="X51ac5c24b848f8ebb96c0817e75fa6c23e3f650"/>
    <w:p>
      <w:pPr>
        <w:pStyle w:val="Heading2"/>
      </w:pPr>
      <w:r>
        <w:t xml:space="preserve">PARTE OTTAVA — APPLICAZIONE DEI PATTERN ANALITICI</w:t>
      </w:r>
    </w:p>
    <w:bookmarkStart w:id="59" w:name="pattern-1-hub-analysis"/>
    <w:p>
      <w:pPr>
        <w:pStyle w:val="Heading3"/>
      </w:pPr>
      <w:r>
        <w:t xml:space="preserve">Pattern 1 — Hub Analysis</w:t>
      </w:r>
    </w:p>
    <w:p>
      <w:pPr>
        <w:pStyle w:val="FirstParagraph"/>
      </w:pPr>
      <w:r>
        <w:t xml:space="preserve">L’applicazione delle quattro misure di centralità al corpus produce un risultato di rilievo metodologico: le quattro misure identificano quattro nodi diversi, il che conferma la produttività della distinzione.</w:t>
      </w:r>
    </w:p>
    <w:p>
      <w:pPr>
        <w:pStyle w:val="BodyText"/>
      </w:pPr>
      <w:r>
        <w:t xml:space="preserve">A</w:t>
      </w:r>
      <w:r>
        <w:t xml:space="preserve"> </w:t>
      </w:r>
      <w:r>
        <w:rPr>
          <w:bCs/>
          <w:b/>
        </w:rPr>
        <w:t xml:space="preserve">degree centrality</w:t>
      </w:r>
      <w:r>
        <w:t xml:space="preserve"> </w:t>
      </w:r>
      <w:r>
        <w:t xml:space="preserve">massima si colloca Yves Guérin-Sérac, presente in sette delle otto unità completate e connesso al maggior numero di nodi diretti. A</w:t>
      </w:r>
      <w:r>
        <w:t xml:space="preserve"> </w:t>
      </w:r>
      <w:r>
        <w:rPr>
          <w:bCs/>
          <w:b/>
        </w:rPr>
        <w:t xml:space="preserve">betweenness centrality</w:t>
      </w:r>
      <w:r>
        <w:t xml:space="preserve"> </w:t>
      </w:r>
      <w:r>
        <w:t xml:space="preserve">massima si colloca Stefano Delle Chiaie, unico ponte documentato fra il cluster lisboeta-madrileno e il cluster romano post-1978, e insieme fra il teatro europeo e quello latinoamericano. A</w:t>
      </w:r>
      <w:r>
        <w:t xml:space="preserve"> </w:t>
      </w:r>
      <w:r>
        <w:rPr>
          <w:bCs/>
          <w:b/>
        </w:rPr>
        <w:t xml:space="preserve">closeness centrality</w:t>
      </w:r>
      <w:r>
        <w:t xml:space="preserve"> </w:t>
      </w:r>
      <w:r>
        <w:t xml:space="preserve">massima si colloca Roberto Fiore, che dalla base londinese raggiunge in un solo passaggio ambienti britannici, libici, polacchi, rumeni, spagnoli e greci. A</w:t>
      </w:r>
      <w:r>
        <w:t xml:space="preserve"> </w:t>
      </w:r>
      <w:r>
        <w:rPr>
          <w:bCs/>
          <w:b/>
        </w:rPr>
        <w:t xml:space="preserve">eigenvector centrality</w:t>
      </w:r>
      <w:r>
        <w:t xml:space="preserve"> </w:t>
      </w:r>
      <w:r>
        <w:t xml:space="preserve">massima si colloca Licio Gelli, che compare raramente in relazione diretta con Aginter ma è connesso ai nodi a loro volta più connessi dell’intera rete.</w:t>
      </w:r>
    </w:p>
    <w:p>
      <w:pPr>
        <w:pStyle w:val="BodyText"/>
      </w:pPr>
      <w:r>
        <w:t xml:space="preserve">Il criterio di validazione richiesto dalla Nota Metodologica — menzione come figura chiave in almeno due fonti indipendenti — è soddisfatto per tutti e quattro i nodi. Si registra inoltre la conferma empirica dell’osservazione secondo cui l’alto degree non implica maggiore potere ma maggiore visibilità: Guérin-Sérac è il nodo più visibile del corpus ed è anche quello la cui organizzazione fu sequestrata e resa pubblica, mentre Gelli, meno visibile in questo specifico corpus, opera al livello dove si decidono i flussi.</w:t>
      </w:r>
    </w:p>
    <w:bookmarkEnd w:id="59"/>
    <w:bookmarkStart w:id="60" w:name="pattern-2-community-detection"/>
    <w:p>
      <w:pPr>
        <w:pStyle w:val="Heading3"/>
      </w:pPr>
      <w:r>
        <w:t xml:space="preserve">Pattern 2 — Community Detection</w:t>
      </w:r>
    </w:p>
    <w:p>
      <w:pPr>
        <w:pStyle w:val="FirstParagraph"/>
      </w:pPr>
      <w:r>
        <w:t xml:space="preserve">L’analisi qualitativa del reticolo identifica cinque comunità funzionali trasversali ai domini formali.</w:t>
      </w:r>
    </w:p>
    <w:p>
      <w:pPr>
        <w:pStyle w:val="BodyText"/>
      </w:pPr>
      <w:r>
        <w:t xml:space="preserve">Prima comunità,</w:t>
      </w:r>
      <w:r>
        <w:t xml:space="preserve"> </w:t>
      </w:r>
      <w:r>
        <w:rPr>
          <w:bCs/>
          <w:b/>
        </w:rPr>
        <w:t xml:space="preserve">cluster lisboeta 1966-1974</w:t>
      </w:r>
      <w:r>
        <w:t xml:space="preserve">: Guérin-Sérac, Leroy, i quadri del rapporto SDCI, Silva Pais, la PIDE, Monteiro, con i corrispondenti italiani Giannettini, Torchia e Buscaroli. Verificabilità storica: soddisfatta dalle operazioni africane documentate.</w:t>
      </w:r>
    </w:p>
    <w:p>
      <w:pPr>
        <w:pStyle w:val="BodyText"/>
      </w:pPr>
      <w:r>
        <w:t xml:space="preserve">Seconda comunità,</w:t>
      </w:r>
      <w:r>
        <w:t xml:space="preserve"> </w:t>
      </w:r>
      <w:r>
        <w:rPr>
          <w:bCs/>
          <w:b/>
        </w:rPr>
        <w:t xml:space="preserve">cluster madrileno 1974-1977</w:t>
      </w:r>
      <w:r>
        <w:t xml:space="preserve">: Guérin-Sérac, Delle Chiaie, Vinciguerra come testimone, i latitanti italiani, l’orbita del Paladin Group. Verificabilità storica: soddisfatta dagli atti Salvini.</w:t>
      </w:r>
    </w:p>
    <w:p>
      <w:pPr>
        <w:pStyle w:val="BodyText"/>
      </w:pPr>
      <w:r>
        <w:t xml:space="preserve">Terza comunità,</w:t>
      </w:r>
      <w:r>
        <w:t xml:space="preserve"> </w:t>
      </w:r>
      <w:r>
        <w:rPr>
          <w:bCs/>
          <w:b/>
        </w:rPr>
        <w:t xml:space="preserve">cluster romano-londinese 1978-1995</w:t>
      </w:r>
      <w:r>
        <w:t xml:space="preserve">: Fiore, Adinolfi, Dimitri, Morsello, i quadri del direttivo, poi Holland, Griffin, Harrington, Gmurczyk. Verificabilità storica: soddisfatta dal processo del 1984 e dalla storiografia sul National Front.</w:t>
      </w:r>
    </w:p>
    <w:p>
      <w:pPr>
        <w:pStyle w:val="BodyText"/>
      </w:pPr>
      <w:r>
        <w:t xml:space="preserve">Quarta comunità,</w:t>
      </w:r>
      <w:r>
        <w:t xml:space="preserve"> </w:t>
      </w:r>
      <w:r>
        <w:rPr>
          <w:bCs/>
          <w:b/>
        </w:rPr>
        <w:t xml:space="preserve">cluster Pretoria-Santiago 1974-1990</w:t>
      </w:r>
      <w:r>
        <w:t xml:space="preserve">: Vlok, Malan, Geldenhuys, Armscor, Pinochet, Stange, Cardoen, Thirion, Aubel. Verificabilità storica: soddisfatta dall’archivio Open Secrets.</w:t>
      </w:r>
    </w:p>
    <w:p>
      <w:pPr>
        <w:pStyle w:val="BodyText"/>
      </w:pPr>
      <w:r>
        <w:t xml:space="preserve">Quinta comunità,</w:t>
      </w:r>
      <w:r>
        <w:t xml:space="preserve"> </w:t>
      </w:r>
      <w:r>
        <w:rPr>
          <w:bCs/>
          <w:b/>
        </w:rPr>
        <w:t xml:space="preserve">cluster anticoloniale e blocco orientale 1961-1975</w:t>
      </w:r>
      <w:r>
        <w:t xml:space="preserve">: Cabral, Mondlane, Machel, Neto, i mezhdunarodniki Evsjukov e Putilin, i consulenti StB, la DGI cubana. Verificabilità storica: soddisfatta dalle monografie Telepneva e Muehlenbeck.</w:t>
      </w:r>
    </w:p>
    <w:p>
      <w:pPr>
        <w:pStyle w:val="BodyText"/>
      </w:pPr>
      <w:r>
        <w:t xml:space="preserve">Il dato analiticamente più significativo è che</w:t>
      </w:r>
      <w:r>
        <w:t xml:space="preserve"> </w:t>
      </w:r>
      <w:r>
        <w:rPr>
          <w:bCs/>
          <w:b/>
        </w:rPr>
        <w:t xml:space="preserve">la quarta e la quinta comunità sono in rapporto di ostilità diretta, mentre la prima e la quinta sono in rapporto di ostilità mediata</w:t>
      </w:r>
      <w:r>
        <w:t xml:space="preserve">: Aginter e i servizi del blocco orientale non si incontrano mai, ma operano sugli stessi soggetti — i movimenti di liberazione — con segno opposto.</w:t>
      </w:r>
    </w:p>
    <w:bookmarkEnd w:id="60"/>
    <w:bookmarkStart w:id="61" w:name="pattern-3-temporal-network-analysis"/>
    <w:p>
      <w:pPr>
        <w:pStyle w:val="Heading3"/>
      </w:pPr>
      <w:r>
        <w:t xml:space="preserve">Pattern 3 — Temporal Network Analysis</w:t>
      </w:r>
    </w:p>
    <w:p>
      <w:pPr>
        <w:pStyle w:val="FirstParagraph"/>
      </w:pPr>
      <w:r>
        <w:t xml:space="preserve">Cinque finestre critiche emergono dalla sovrapposizione della dimensione temporale.</w:t>
      </w:r>
    </w:p>
    <w:p>
      <w:pPr>
        <w:pStyle w:val="BodyText"/>
      </w:pPr>
      <w:r>
        <w:t xml:space="preserve">Finestra 1966-1967: fondazione di Aginter, riunioni di Ordre et Tradition, documento «Aristo», rapporto «Joel», incidente 1-2-3 di Macao, fondazione della WACL a Taipei. Densità elevata di eventi costitutivi in dodici mesi.</w:t>
      </w:r>
    </w:p>
    <w:p>
      <w:pPr>
        <w:pStyle w:val="BodyText"/>
      </w:pPr>
      <w:r>
        <w:t xml:space="preserve">Finestra 1968-1969: «Notre Action Politique», assassinio Mondlane, infiltrazione FRELIMO, prospetto guatemalteco, bollettino AGP 34. È la finestra di massima operatività africana.</w:t>
      </w:r>
    </w:p>
    <w:p>
      <w:pPr>
        <w:pStyle w:val="BodyText"/>
      </w:pPr>
      <w:r>
        <w:t xml:space="preserve">Finestra 1973-1977: assassinio Cabral, colpo di Stato cileno, Rivoluzione dei Garofani, costituzione di Condor, guerra civile libanese e Tal al-Zaatar, Muldergate, Risoluzione 418, dispersione del gruppo di Madrid. È la finestra di massima riconfigurazione globale della rete.</w:t>
      </w:r>
    </w:p>
    <w:p>
      <w:pPr>
        <w:pStyle w:val="BodyText"/>
      </w:pPr>
      <w:r>
        <w:t xml:space="preserve">Finestra 1979-1982: arresto di Dimitri, strage di Bologna, morte di Nanni De Angelis, operazione «terrore sui treni», attentato al Papa, arresto di Gelli a Ginevra, scioglimento di Terza Posizione. È la finestra italiana.</w:t>
      </w:r>
    </w:p>
    <w:p>
      <w:pPr>
        <w:pStyle w:val="BodyText"/>
      </w:pPr>
      <w:r>
        <w:t xml:space="preserve">Finestra 2022-2026: morte di Guérin-Sérac, sentenza Bellini, pubblicazione dei due articoli accademici, conferme definitive della Cassazione. È la finestra di chiusura documentaria e giudiziaria, ed è quella in cui il corpus stesso è stato prodotto.</w:t>
      </w:r>
    </w:p>
    <w:p>
      <w:pPr>
        <w:pStyle w:val="BodyText"/>
      </w:pPr>
      <w:r>
        <w:t xml:space="preserve">Il criterio di validazione statistica prescritto dalla Nota Metodologica non è applicabile in questa sede per la ridotta numerosità del corpus: le finestre sono qui identificate qualitativamente e la loro significatività resta da testare su base cumulativa.</w:t>
      </w:r>
    </w:p>
    <w:bookmarkEnd w:id="61"/>
    <w:bookmarkStart w:id="62" w:name="pattern-4-flow-analysis"/>
    <w:p>
      <w:pPr>
        <w:pStyle w:val="Heading3"/>
      </w:pPr>
      <w:r>
        <w:t xml:space="preserve">Pattern 4 — Flow Analysis</w:t>
      </w:r>
    </w:p>
    <w:p>
      <w:pPr>
        <w:pStyle w:val="FirstParagraph"/>
      </w:pPr>
      <w:r>
        <w:t xml:space="preserve">I quattro flussi già enumerati nella Parte Settima soddisfano parzialmente il criterio di validazione richiesto — conferma da almeno tre eventi indipendenti che utilizzino lo stesso percorso. Il flusso degli uomini è confermato da più segmenti indipendenti (Africa, Spagna, America Latina) e si qualifica come</w:t>
      </w:r>
      <w:r>
        <w:t xml:space="preserve"> </w:t>
      </w:r>
      <w:r>
        <w:rPr>
          <w:bCs/>
          <w:b/>
        </w:rPr>
        <w:t xml:space="preserve">rotta strutturale</w:t>
      </w:r>
      <w:r>
        <w:t xml:space="preserve">. Il flusso degli armamenti italo-sudafricani è confermato da fonte SIPRI, da letteratura accademica sudafricana e da denuncia sindacale:</w:t>
      </w:r>
      <w:r>
        <w:t xml:space="preserve"> </w:t>
      </w:r>
      <w:r>
        <w:rPr>
          <w:bCs/>
          <w:b/>
        </w:rPr>
        <w:t xml:space="preserve">rotta strutturale</w:t>
      </w:r>
      <w:r>
        <w:t xml:space="preserve">. Il flusso finanziario bolognese è confermato da documento sequestrato, da deposizione tecnica in Corte d’assise e da sentenza:</w:t>
      </w:r>
      <w:r>
        <w:t xml:space="preserve"> </w:t>
      </w:r>
      <w:r>
        <w:rPr>
          <w:bCs/>
          <w:b/>
        </w:rPr>
        <w:t xml:space="preserve">rotta strutturale</w:t>
      </w:r>
      <w:r>
        <w:t xml:space="preserve">. Il flusso della componentistica Osaka-Lourenço Marques-Dar es Salaam è documentato da un unico episodio e si qualifica come</w:t>
      </w:r>
      <w:r>
        <w:t xml:space="preserve"> </w:t>
      </w:r>
      <w:r>
        <w:rPr>
          <w:bCs/>
          <w:b/>
        </w:rPr>
        <w:t xml:space="preserve">rotta occasionale</w:t>
      </w:r>
      <w:r>
        <w:t xml:space="preserve">.</w:t>
      </w:r>
    </w:p>
    <w:bookmarkEnd w:id="62"/>
    <w:bookmarkStart w:id="63" w:name="pattern-5-structural-holes-analysis"/>
    <w:p>
      <w:pPr>
        <w:pStyle w:val="Heading3"/>
      </w:pPr>
      <w:r>
        <w:t xml:space="preserve">Pattern 5 — Structural Holes Analysis</w:t>
      </w:r>
    </w:p>
    <w:p>
      <w:pPr>
        <w:pStyle w:val="FirstParagraph"/>
      </w:pPr>
      <w:r>
        <w:t xml:space="preserve">Questo è il pattern a maggior rendimento dell’intero corpus, e la ragione risiede nella natura del mandato di ricerca: sei delle otto unità completate erano, nella sostanza, verifiche di esistenza di archi ipotizzati. I buchi strutturali identificati e certificati sono elencati analiticamente nella Parte Nona.</w:t>
      </w:r>
    </w:p>
    <w:p>
      <w:pPr>
        <w:pStyle w:val="BodyText"/>
      </w:pPr>
      <w:r>
        <w:t xml:space="preserve">Si registra qui l’osservazione metodologica generale. Nella tassonomia della Nota Metodologica, l’assenza di una connessione attesa può indicare tre cose: conflitto nascosto, compartimentazione intenzionale, oppure lacuna documentaria. Il corpus consente di discriminare fra le tre. Per l’assenza Aginter-Asia orientale la spiegazione è la</w:t>
      </w:r>
      <w:r>
        <w:t xml:space="preserve"> </w:t>
      </w:r>
      <w:r>
        <w:rPr>
          <w:bCs/>
          <w:b/>
        </w:rPr>
        <w:t xml:space="preserve">non pertinenza geografica</w:t>
      </w:r>
      <w:r>
        <w:t xml:space="preserve">, poiché la geografia operativa dell’agenzia era stabilita per mandato coloniale portoghese. Per l’assenza Aginter-Terza Posizione la spiegazione è la</w:t>
      </w:r>
      <w:r>
        <w:t xml:space="preserve"> </w:t>
      </w:r>
      <w:r>
        <w:rPr>
          <w:bCs/>
          <w:b/>
        </w:rPr>
        <w:t xml:space="preserve">non contemporaneità</w:t>
      </w:r>
      <w:r>
        <w:t xml:space="preserve">, poiché fra la cessazione dell’una e la fondazione dell’altra corrono quattro anni. Per l’assenza Aginter-Medio Oriente sciita la spiegazione è la</w:t>
      </w:r>
      <w:r>
        <w:t xml:space="preserve"> </w:t>
      </w:r>
      <w:r>
        <w:rPr>
          <w:bCs/>
          <w:b/>
        </w:rPr>
        <w:t xml:space="preserve">non pertinenza della categoria stessa</w:t>
      </w:r>
      <w:r>
        <w:t xml:space="preserve">, che è artefatto retrospettivo. Per l’assenza di fascicoli orientali su Aginter la spiegazione è</w:t>
      </w:r>
      <w:r>
        <w:t xml:space="preserve"> </w:t>
      </w:r>
      <w:r>
        <w:rPr>
          <w:bCs/>
          <w:b/>
        </w:rPr>
        <w:t xml:space="preserve">indecidibile fra disinteresse reale e distruzione archivistica</w:t>
      </w:r>
      <w:r>
        <w:t xml:space="preserve">, e resta iscritta come lacuna.</w:t>
      </w:r>
    </w:p>
    <w:bookmarkEnd w:id="63"/>
    <w:bookmarkStart w:id="64" w:name="X9c2fd7c9d8eb7a0d041f59a53545be0e1070de3"/>
    <w:p>
      <w:pPr>
        <w:pStyle w:val="Heading3"/>
      </w:pPr>
      <w:r>
        <w:t xml:space="preserve">Pattern 6 — Analysis of Competing Hypotheses</w:t>
      </w:r>
    </w:p>
    <w:p>
      <w:pPr>
        <w:pStyle w:val="FirstParagraph"/>
      </w:pPr>
      <w:r>
        <w:t xml:space="preserve">Il pattern è stato applicato in forma esplicita al quesito centrale dell’Unità 6, il nesso Aginter-Terza Posizione. Si registrano le tre ipotesi concorrenti e la matrice diagnostica.</w:t>
      </w:r>
    </w:p>
    <w:p>
      <w:pPr>
        <w:pStyle w:val="BodyText"/>
      </w:pPr>
      <w:r>
        <w:t xml:space="preserve">Ipotesi prima,</w:t>
      </w:r>
      <w:r>
        <w:t xml:space="preserve"> </w:t>
      </w:r>
      <w:r>
        <w:rPr>
          <w:bCs/>
          <w:b/>
        </w:rPr>
        <w:t xml:space="preserve">filiazione diretta</w:t>
      </w:r>
      <w:r>
        <w:t xml:space="preserve">: Terza Posizione sarebbe emanazione o continuazione operativa della rete Aginter. Evidenze contrarie: cessazione di Aginter nel 1974 e fondazione di TP nel 1978; dispersione del gruppo madrileno verso l’America Latina nel 1977; assenza totale di TP nella Parte Sesta dell’istruttoria Salvini, capitoli 58-67, interamente dedicata ad Aginter e al gruppo di Madrid; non sovrapposizione delle due fasi madrilene; rifiuto esplicito del paradigma Aginter da parte di Adinolfi. Ipotesi</w:t>
      </w:r>
      <w:r>
        <w:t xml:space="preserve"> </w:t>
      </w:r>
      <w:r>
        <w:rPr>
          <w:bCs/>
          <w:b/>
        </w:rPr>
        <w:t xml:space="preserve">falsificata</w:t>
      </w:r>
      <w:r>
        <w:t xml:space="preserve">.</w:t>
      </w:r>
    </w:p>
    <w:p>
      <w:pPr>
        <w:pStyle w:val="BodyText"/>
      </w:pPr>
      <w:r>
        <w:t xml:space="preserve">Ipotesi seconda,</w:t>
      </w:r>
      <w:r>
        <w:t xml:space="preserve"> </w:t>
      </w:r>
      <w:r>
        <w:rPr>
          <w:bCs/>
          <w:b/>
        </w:rPr>
        <w:t xml:space="preserve">trasmissione ideologica mediata da individui-ponte</w:t>
      </w:r>
      <w:r>
        <w:t xml:space="preserve">: TP eredita categorie e contatti attraverso figure della generazione precedente, segnatamente Delle Chiaie e l’ambiente di Avanguardia Nazionale. Evidenze a favore: provenienza di Dimitri e transito di Adinolfi da Avanguardia Nazionale; incontro parigino Delle Chiaie-Dimitri del 1979; finanziamento delle latitanze di esuli mediante rapine dell’ambiente TP; continuità delle categorie della guerra rivoluzionaria e del soldato politico. Evidenze contrarie: nessuna circolazione documentata dei testi Aginter nell’area TP. Ipotesi</w:t>
      </w:r>
      <w:r>
        <w:t xml:space="preserve"> </w:t>
      </w:r>
      <w:r>
        <w:rPr>
          <w:bCs/>
          <w:b/>
        </w:rPr>
        <w:t xml:space="preserve">meno contraddetta dalle evidenze</w:t>
      </w:r>
      <w:r>
        <w:t xml:space="preserve">, e pertanto provvisoriamente accolta.</w:t>
      </w:r>
    </w:p>
    <w:p>
      <w:pPr>
        <w:pStyle w:val="BodyText"/>
      </w:pPr>
      <w:r>
        <w:t xml:space="preserve">Ipotesi terza,</w:t>
      </w:r>
      <w:r>
        <w:t xml:space="preserve"> </w:t>
      </w:r>
      <w:r>
        <w:rPr>
          <w:bCs/>
          <w:b/>
        </w:rPr>
        <w:t xml:space="preserve">convergenza indipendente</w:t>
      </w:r>
      <w:r>
        <w:t xml:space="preserve">: le somiglianze sarebbero prodotte da un patrimonio ideologico comune disponibile a entrambe le generazioni senza alcuna trasmissione. Evidenze contrarie: l’esistenza di contatti personali documentati fra le due generazioni rende superflua l’ipotesi di indipendenza completa. Ipotesi</w:t>
      </w:r>
      <w:r>
        <w:t xml:space="preserve"> </w:t>
      </w:r>
      <w:r>
        <w:rPr>
          <w:bCs/>
          <w:b/>
        </w:rPr>
        <w:t xml:space="preserve">parzialmente contraddetta</w:t>
      </w:r>
      <w:r>
        <w:t xml:space="preserve">.</w:t>
      </w:r>
    </w:p>
    <w:p>
      <w:pPr>
        <w:pStyle w:val="BodyText"/>
      </w:pPr>
      <w:r>
        <w:t xml:space="preserve">Evidenza che, se scoperta, falsificherebbe la conclusione attuale: un documento giudiziario o testimoniale che attesti circolazione dei materiali dottrinali di Aginter nell’area di Terza Posizione, o un contatto diretto fra Guérin-Sérac e un dirigente TP.</w:t>
      </w:r>
    </w:p>
    <w:bookmarkEnd w:id="64"/>
    <w:bookmarkStart w:id="65" w:name="pattern-7-career-path-analysis"/>
    <w:p>
      <w:pPr>
        <w:pStyle w:val="Heading3"/>
      </w:pPr>
      <w:r>
        <w:t xml:space="preserve">Pattern 7 — Career Path Analysis</w:t>
      </w:r>
    </w:p>
    <w:p>
      <w:pPr>
        <w:pStyle w:val="FirstParagraph"/>
      </w:pPr>
      <w:r>
        <w:t xml:space="preserve">Tre corridoi strutturali emergono dall’accumulo delle traiettorie individuali.</w:t>
      </w:r>
    </w:p>
    <w:p>
      <w:pPr>
        <w:pStyle w:val="BodyText"/>
      </w:pPr>
      <w:r>
        <w:t xml:space="preserve">Primo corridoio,</w:t>
      </w:r>
      <w:r>
        <w:t xml:space="preserve"> </w:t>
      </w:r>
      <w:r>
        <w:rPr>
          <w:bCs/>
          <w:b/>
        </w:rPr>
        <w:t xml:space="preserve">militare-coloniale-clandestino</w:t>
      </w:r>
      <w:r>
        <w:t xml:space="preserve">: accademia o corpi speciali francesi, Indocina o Corea, Algeria, OAS, Lisbona e Aginter, teatri africani, Spagna, America Latina. È il corridoio percorso da Guérin-Sérac, Leroy e dai quadri del rapporto SDCI, ed è un corridoio di reclutamento sistematico: il sessanta per cento del personale proviene da un unico bacino.</w:t>
      </w:r>
    </w:p>
    <w:p>
      <w:pPr>
        <w:pStyle w:val="BodyText"/>
      </w:pPr>
      <w:r>
        <w:t xml:space="preserve">Secondo corridoio,</w:t>
      </w:r>
      <w:r>
        <w:t xml:space="preserve"> </w:t>
      </w:r>
      <w:r>
        <w:rPr>
          <w:bCs/>
          <w:b/>
        </w:rPr>
        <w:t xml:space="preserve">studentesco-militante-clandestino-imprenditoriale</w:t>
      </w:r>
      <w:r>
        <w:t xml:space="preserve">: organizzazione giovanile, movimento politico, doppia militanza armata, latitanza, ricostruzione economica e politica all’estero, rientro istituzionale. È il corridoio di Fiore e Adinolfi, e la sua peculiarità è la conversione della latitanza in capitale organizzativo internazionale.</w:t>
      </w:r>
    </w:p>
    <w:p>
      <w:pPr>
        <w:pStyle w:val="BodyText"/>
      </w:pPr>
      <w:r>
        <w:t xml:space="preserve">Terzo corridoio,</w:t>
      </w:r>
      <w:r>
        <w:t xml:space="preserve"> </w:t>
      </w:r>
      <w:r>
        <w:rPr>
          <w:bCs/>
          <w:b/>
        </w:rPr>
        <w:t xml:space="preserve">partitico-groupusculaire</w:t>
      </w:r>
      <w:r>
        <w:t xml:space="preserve">: National Front, corrente dei soldati politici, International Third Position, scissione ideologica, formazione di groupuscule autonomo. È il corridoio di Southgate, e documenta la frammentazione progressiva della rete anziché il suo consolidamento.</w:t>
      </w:r>
    </w:p>
    <w:bookmarkEnd w:id="65"/>
    <w:bookmarkStart w:id="66" w:name="pattern-8-shock-doctrine-analysis"/>
    <w:p>
      <w:pPr>
        <w:pStyle w:val="Heading3"/>
      </w:pPr>
      <w:r>
        <w:t xml:space="preserve">Pattern 8 — Shock Doctrine Analysis</w:t>
      </w:r>
    </w:p>
    <w:p>
      <w:pPr>
        <w:pStyle w:val="FirstParagraph"/>
      </w:pPr>
      <w:r>
        <w:t xml:space="preserve">Tre eventi perturbativi modificano strutturalmente la rete.</w:t>
      </w:r>
    </w:p>
    <w:p>
      <w:pPr>
        <w:pStyle w:val="BodyText"/>
      </w:pPr>
      <w:r>
        <w:t xml:space="preserve">La</w:t>
      </w:r>
      <w:r>
        <w:t xml:space="preserve"> </w:t>
      </w:r>
      <w:r>
        <w:rPr>
          <w:bCs/>
          <w:b/>
        </w:rPr>
        <w:t xml:space="preserve">Rivoluzione dei Garofani dell’aprile 1974</w:t>
      </w:r>
      <w:r>
        <w:t xml:space="preserve"> </w:t>
      </w:r>
      <w:r>
        <w:t xml:space="preserve">è lo shock che dissolve Aginter, ne fa sequestrare l’archivio e ne disperde i quadri: è insieme la fine dell’organizzazione e la condizione di possibilità della sua conoscibilità storica, poiché è il sequestro che genera la documentazione. Paradosso da registrare: lo shock che distrugge il nodo è lo stesso che lo rende osservabile.</w:t>
      </w:r>
    </w:p>
    <w:p>
      <w:pPr>
        <w:pStyle w:val="BodyText"/>
      </w:pPr>
      <w:r>
        <w:t xml:space="preserve">Il</w:t>
      </w:r>
      <w:r>
        <w:t xml:space="preserve"> </w:t>
      </w:r>
      <w:r>
        <w:rPr>
          <w:bCs/>
          <w:b/>
        </w:rPr>
        <w:t xml:space="preserve">colpo di Stato cileno dell’11 settembre 1973</w:t>
      </w:r>
      <w:r>
        <w:t xml:space="preserve"> </w:t>
      </w:r>
      <w:r>
        <w:t xml:space="preserve">è lo shock che riallinea integralmente un attore statale, trasformando il Cile da critico dell’apartheid in partner privilegiato di Pretoria in pochi mesi. È il caso più netto di modifica delle posizioni di potere nella rete a seguito di una crisi.</w:t>
      </w:r>
    </w:p>
    <w:p>
      <w:pPr>
        <w:pStyle w:val="BodyText"/>
      </w:pPr>
      <w:r>
        <w:t xml:space="preserve">La</w:t>
      </w:r>
      <w:r>
        <w:t xml:space="preserve"> </w:t>
      </w:r>
      <w:r>
        <w:rPr>
          <w:bCs/>
          <w:b/>
        </w:rPr>
        <w:t xml:space="preserve">strage di Bologna del 2 agosto 1980</w:t>
      </w:r>
      <w:r>
        <w:t xml:space="preserve"> </w:t>
      </w:r>
      <w:r>
        <w:t xml:space="preserve">è lo shock che dissolve Terza Posizione, ne disperde i dirigenti e ne trasforma la traiettoria da movimento nazionale a rete internazionale. Anche qui il paradosso: la dissoluzione italiana genera l’internazionalizzazione.</w:t>
      </w:r>
    </w:p>
    <w:bookmarkEnd w:id="66"/>
    <w:bookmarkStart w:id="67" w:name="pattern-9-dynastic-analysis"/>
    <w:p>
      <w:pPr>
        <w:pStyle w:val="Heading3"/>
      </w:pPr>
      <w:r>
        <w:t xml:space="preserve">Pattern 9 — Dynastic Analysis</w:t>
      </w:r>
    </w:p>
    <w:p>
      <w:pPr>
        <w:pStyle w:val="FirstParagraph"/>
      </w:pPr>
      <w:r>
        <w:t xml:space="preserve">Il pattern ha rendimento basso in questo corpus, e la sua bassa resa è essa stessa un dato di caratterizzazione: le reti qui censite sono reti di cooptazione ideologica e professionale, non di trasmissione familiare. Si registrano tre soli nuclei parentali:</w:t>
      </w:r>
      <w:r>
        <w:t xml:space="preserve"> </w:t>
      </w:r>
      <w:r>
        <w:rPr>
          <w:bCs/>
          <w:b/>
        </w:rPr>
        <w:t xml:space="preserve">Jean Guillou</w:t>
      </w:r>
      <w:r>
        <w:t xml:space="preserve">, fratello del fondatore, fra i quadri di Aginter; il nucleo</w:t>
      </w:r>
      <w:r>
        <w:t xml:space="preserve"> </w:t>
      </w:r>
      <w:r>
        <w:rPr>
          <w:bCs/>
          <w:b/>
        </w:rPr>
        <w:t xml:space="preserve">De Angelis</w:t>
      </w:r>
      <w:r>
        <w:t xml:space="preserve">, con Marcello e Nanni fratelli e Germana coniugata con Luigi Ciavardini; il nucleo</w:t>
      </w:r>
      <w:r>
        <w:t xml:space="preserve"> </w:t>
      </w:r>
      <w:r>
        <w:rPr>
          <w:bCs/>
          <w:b/>
        </w:rPr>
        <w:t xml:space="preserve">Soncini-Ganapini</w:t>
      </w:r>
      <w:r>
        <w:t xml:space="preserve"> </w:t>
      </w:r>
      <w:r>
        <w:t xml:space="preserve">sul versante opposto della solidarietà reggiana. Nessuno di questi configura una dinastia nel senso del pattern.</w:t>
      </w:r>
    </w:p>
    <w:bookmarkEnd w:id="67"/>
    <w:bookmarkStart w:id="68" w:name="pattern-10-spatial-overlay-analysis"/>
    <w:p>
      <w:pPr>
        <w:pStyle w:val="Heading3"/>
      </w:pPr>
      <w:r>
        <w:t xml:space="preserve">Pattern 10 — Spatial Overlay Analysis</w:t>
      </w:r>
    </w:p>
    <w:p>
      <w:pPr>
        <w:pStyle w:val="FirstParagraph"/>
      </w:pPr>
      <w:r>
        <w:t xml:space="preserve">Le quattro zone di convergenza primaria censite nella Parte Sesta soddisfano il criterio del pattern: in ciascuna la densità di attori di domini diversi supera significativamente la media, e in ciascuna la prossimità implica possibilità di contatto fisico quotidiano. La zona a più alta densità è Lisbona fra il 1966 e il 1974. Si registra un caso di</w:t>
      </w:r>
      <w:r>
        <w:t xml:space="preserve"> </w:t>
      </w:r>
      <w:r>
        <w:rPr>
          <w:bCs/>
          <w:b/>
        </w:rPr>
        <w:t xml:space="preserve">falsa convergenza spaziale</w:t>
      </w:r>
      <w:r>
        <w:t xml:space="preserve">: Madrid ospita in due fasi distinte e non sovrapposte i reduci di Aginter e i latitanti di Terza Posizione, e la sovrapposizione geografica senza sovrapposizione temporale è esattamente il tipo di coincidenza che il paradigma indiziario deve saper distinguere da una connessione reale.</w:t>
      </w:r>
    </w:p>
    <w:bookmarkEnd w:id="68"/>
    <w:bookmarkStart w:id="69" w:name="pattern-11-structural-isomorphism"/>
    <w:p>
      <w:pPr>
        <w:pStyle w:val="Heading3"/>
      </w:pPr>
      <w:r>
        <w:t xml:space="preserve">Pattern 11 — Structural Isomorphism</w:t>
      </w:r>
    </w:p>
    <w:p>
      <w:pPr>
        <w:pStyle w:val="FirstParagraph"/>
      </w:pPr>
      <w:r>
        <w:t xml:space="preserve">Due isomorfismi rilevanti emergono dal corpus.</w:t>
      </w:r>
    </w:p>
    <w:p>
      <w:pPr>
        <w:pStyle w:val="BodyText"/>
      </w:pPr>
      <w:r>
        <w:t xml:space="preserve">Primo isomorfismo:</w:t>
      </w:r>
      <w:r>
        <w:t xml:space="preserve"> </w:t>
      </w:r>
      <w:r>
        <w:rPr>
          <w:bCs/>
          <w:b/>
        </w:rPr>
        <w:t xml:space="preserve">Aginter Press e operazione Chaos della CIA</w:t>
      </w:r>
      <w:r>
        <w:t xml:space="preserve">. Entrambe attive dal 1966, entrambe fondate sull’infiltrazione dei gruppi della sinistra extraparlamentare negli stessi Paesi europei. La storiografia francese rileva la manifesta convergenza di interessi e la concordanza cronologica. Le tre spiegazioni possibili previste dal pattern — origine comune, necessità funzionale, convergenza indipendente — non sono qui discriminabili con le fonti disponibili, e la questione resta aperta a Livello C.</w:t>
      </w:r>
    </w:p>
    <w:p>
      <w:pPr>
        <w:pStyle w:val="BodyText"/>
      </w:pPr>
      <w:r>
        <w:t xml:space="preserve">Secondo isomorfismo:</w:t>
      </w:r>
      <w:r>
        <w:t xml:space="preserve"> </w:t>
      </w:r>
      <w:r>
        <w:rPr>
          <w:bCs/>
          <w:b/>
        </w:rPr>
        <w:t xml:space="preserve">Aginter Press e il circuito WACL-APACL</w:t>
      </w:r>
      <w:r>
        <w:t xml:space="preserve">. Strutture anticomuniste transnazionali coeve, con analoga funzione di collegamento fra apparati statali, imprese e militanza radicale, e con analoga articolazione per corrispondenti nazionali. L’esito della ricerca è però che le due strutture</w:t>
      </w:r>
      <w:r>
        <w:t xml:space="preserve"> </w:t>
      </w:r>
      <w:r>
        <w:rPr>
          <w:bCs/>
          <w:b/>
        </w:rPr>
        <w:t xml:space="preserve">non comunicano</w:t>
      </w:r>
      <w:r>
        <w:t xml:space="preserve">: nessun legame organico documentato. Si tratta dunque di un isomorfismo per necessità funzionale senza contatto — il caso, previsto dal pattern, in cui pressioni ambientali analoghe producono strutture simili in modo indipendente. È un risultato analitico di rilievo perché smentisce l’assunzione, diffusa nella pubblicistica, che le strutture anticomuniste transnazionali costituissero un unico sistema integrato.</w:t>
      </w:r>
    </w:p>
    <w:p>
      <w:r>
        <w:pict>
          <v:rect style="width:0;height:1.5pt" o:hralign="center" o:hrstd="t" o:hr="t"/>
        </w:pict>
      </w:r>
    </w:p>
    <w:bookmarkEnd w:id="69"/>
    <w:bookmarkEnd w:id="70"/>
    <w:bookmarkStart w:id="73" w:name="parte-nona-catalogo-dei-nodi-assenza"/>
    <w:p>
      <w:pPr>
        <w:pStyle w:val="Heading2"/>
      </w:pPr>
      <w:r>
        <w:t xml:space="preserve">PARTE NONA — CATALOGO DEI NODI-ASSENZA</w:t>
      </w:r>
    </w:p>
    <w:bookmarkStart w:id="71" w:name="motivazione-della-categoria"/>
    <w:p>
      <w:pPr>
        <w:pStyle w:val="Heading3"/>
      </w:pPr>
      <w:r>
        <w:t xml:space="preserve">9.1 Motivazione della categoria</w:t>
      </w:r>
    </w:p>
    <w:p>
      <w:pPr>
        <w:pStyle w:val="FirstParagraph"/>
      </w:pPr>
      <w:r>
        <w:t xml:space="preserve">La categoria è introdotta perché sei delle otto unità completate hanno prodotto, come risultato principale o rilevante, la certificazione di un’assenza. Trattare questi risultati come semplici esiti negativi ne dissiperebbe il valore analitico. Nella logica del paradigma indiziario e del falsificazionismo che governano l’opera, l’assenza certificata di una connessione attesa è un dato positivo di conoscenza: essa delimita il perimetro del reale e falsifica ipotesi circolanti. Ogni nodo-assenza è qui registrato con l’indicazione dello statuto epistemico — assenza di prove, prova di assenza, inaccessibilità archivistica — e della soglia di evidenza che ne consentirebbe il ribaltamento.</w:t>
      </w:r>
    </w:p>
    <w:bookmarkEnd w:id="71"/>
    <w:bookmarkStart w:id="72" w:name="inventario"/>
    <w:p>
      <w:pPr>
        <w:pStyle w:val="Heading3"/>
      </w:pPr>
      <w:r>
        <w:t xml:space="preserve">9.2 Inventario</w:t>
      </w:r>
    </w:p>
    <w:p>
      <w:pPr>
        <w:pStyle w:val="FirstParagraph"/>
      </w:pPr>
      <w:r>
        <w:rPr>
          <w:bCs/>
          <w:b/>
        </w:rPr>
        <w:t xml:space="preserve">Assenza 1 — Aginter Press × Macao, Cina, Hong Kong, Taiwan.</w:t>
      </w:r>
      <w:r>
        <w:t xml:space="preserve"> </w:t>
      </w:r>
      <w:r>
        <w:t xml:space="preserve">Statuto: assenza di prove tendente alla prova di assenza. Fondamento: convergenza di tutte le enumerazioni indipendenti della geografia operativa. Soglia di ribaltamento: rinvenimento nel fondo PIDE/DGS di un recapito o di una corrispondenza estremo-orientale.</w:t>
      </w:r>
    </w:p>
    <w:p>
      <w:pPr>
        <w:pStyle w:val="BodyText"/>
      </w:pPr>
      <w:r>
        <w:rPr>
          <w:bCs/>
          <w:b/>
        </w:rPr>
        <w:t xml:space="preserve">Assenza 2 — Aginter Press × Vietnam, Corea del Sud, Cambogia.</w:t>
      </w:r>
      <w:r>
        <w:t xml:space="preserve"> </w:t>
      </w:r>
      <w:r>
        <w:t xml:space="preserve">Statuto: assenza di prove operative con presenza di nesso biografico e dottrinale. Fondamento: le due sole Asia-connection dell’archivio sono contatti personali di collaboratori italiani mai tradotti in operazioni. Soglia di ribaltamento: documentazione di una missione o di un corrispondente in Indocina.</w:t>
      </w:r>
    </w:p>
    <w:p>
      <w:pPr>
        <w:pStyle w:val="BodyText"/>
      </w:pPr>
      <w:r>
        <w:rPr>
          <w:bCs/>
          <w:b/>
        </w:rPr>
        <w:t xml:space="preserve">Assenza 3 — Aginter Press × Giappone.</w:t>
      </w:r>
      <w:r>
        <w:t xml:space="preserve"> </w:t>
      </w:r>
      <w:r>
        <w:t xml:space="preserve">Statuto:</w:t>
      </w:r>
      <w:r>
        <w:t xml:space="preserve"> </w:t>
      </w:r>
      <w:r>
        <w:rPr>
          <w:bCs/>
          <w:b/>
        </w:rPr>
        <w:t xml:space="preserve">non indagata</w:t>
      </w:r>
      <w:r>
        <w:t xml:space="preserve">. È l’unica assenza del corpus che non è un risultato ma una lacuna procedurale, e va tenuta rigorosamente distinta dalle altre.</w:t>
      </w:r>
    </w:p>
    <w:p>
      <w:pPr>
        <w:pStyle w:val="BodyText"/>
      </w:pPr>
      <w:r>
        <w:rPr>
          <w:bCs/>
          <w:b/>
        </w:rPr>
        <w:t xml:space="preserve">Assenza 4 — Aginter Press × Terza Posizione.</w:t>
      </w:r>
      <w:r>
        <w:t xml:space="preserve"> </w:t>
      </w:r>
      <w:r>
        <w:t xml:space="preserve">Statuto: prova di assenza sul piano organizzativo, assenza di prove sul piano dei contatti individuali. Fondamento: incompatibilità cronologica e silenzio dell’istruttoria Salvini. Soglia di ribaltamento: già specificata nel Pattern 6.</w:t>
      </w:r>
    </w:p>
    <w:p>
      <w:pPr>
        <w:pStyle w:val="BodyText"/>
      </w:pPr>
      <w:r>
        <w:rPr>
          <w:bCs/>
          <w:b/>
        </w:rPr>
        <w:t xml:space="preserve">Assenza 5 — Aginter Press × Stati e movimenti sciiti filo-sovietici.</w:t>
      </w:r>
      <w:r>
        <w:t xml:space="preserve"> </w:t>
      </w:r>
      <w:r>
        <w:t xml:space="preserve">Statuto: assenza di prove rafforzata dall’inconsistenza della categoria per il periodo considerato. Fondamento: geografia operativa; natura anticomunista e filo-atlantica dell’agenzia, incompatibile con partner allineati a Mosca.</w:t>
      </w:r>
    </w:p>
    <w:p>
      <w:pPr>
        <w:pStyle w:val="BodyText"/>
      </w:pPr>
      <w:r>
        <w:rPr>
          <w:bCs/>
          <w:b/>
        </w:rPr>
        <w:t xml:space="preserve">Assenza 6 — Aginter Press × intelligence del Patto di Varsavia.</w:t>
      </w:r>
      <w:r>
        <w:t xml:space="preserve"> </w:t>
      </w:r>
      <w:r>
        <w:t xml:space="preserve">Statuto: assenza di prove con inaccessibilità archivistica dichiarata. Fondamento: nessun fascicolo reperito negli archivi accessibili; ma la StB distrusse la maggior parte dei propri fascicoli fra la fine del 1989 e l’inizio del 1990, e i materiali del KGB restano in larga parte segreti. Soglia di ribaltamento: interrogazione sistematica dei cataloghi ABS, BStU, CNSAS, COMDOS e IPN sulle stringhe pertinenti.</w:t>
      </w:r>
    </w:p>
    <w:p>
      <w:pPr>
        <w:pStyle w:val="BodyText"/>
      </w:pPr>
      <w:r>
        <w:rPr>
          <w:bCs/>
          <w:b/>
        </w:rPr>
        <w:t xml:space="preserve">Assenza 7 — Aginter Press × WACL e APACL.</w:t>
      </w:r>
      <w:r>
        <w:t xml:space="preserve"> </w:t>
      </w:r>
      <w:r>
        <w:t xml:space="preserve">Statuto: assenza di prove. Rilevanza: falsifica l’ipotesi dell’internazionale anticomunista come sistema unitario.</w:t>
      </w:r>
    </w:p>
    <w:p>
      <w:pPr>
        <w:pStyle w:val="BodyText"/>
      </w:pPr>
      <w:r>
        <w:rPr>
          <w:bCs/>
          <w:b/>
        </w:rPr>
        <w:t xml:space="preserve">Assenza 8 — Brasile × sanctions-busting sudafricano.</w:t>
      </w:r>
      <w:r>
        <w:t xml:space="preserve"> </w:t>
      </w:r>
      <w:r>
        <w:t xml:space="preserve">Statuto: assenza di prove significativa. Fondamento: van Vuuren cita Israele, Argentina, Cile e Taiwan, mai il Brasile; il caso Pia Vesta transitò per Perù e Panama.</w:t>
      </w:r>
    </w:p>
    <w:p>
      <w:pPr>
        <w:pStyle w:val="BodyText"/>
      </w:pPr>
      <w:r>
        <w:rPr>
          <w:bCs/>
          <w:b/>
        </w:rPr>
        <w:t xml:space="preserve">Assenza 9 — Cile × caso Pia Vesta e × UNTAG.</w:t>
      </w:r>
      <w:r>
        <w:t xml:space="preserve"> </w:t>
      </w:r>
      <w:r>
        <w:t xml:space="preserve">Statuto: prova di assenza per il primo, assenza documentata per il secondo.</w:t>
      </w:r>
    </w:p>
    <w:p>
      <w:pPr>
        <w:pStyle w:val="BodyText"/>
      </w:pPr>
      <w:r>
        <w:rPr>
          <w:bCs/>
          <w:b/>
        </w:rPr>
        <w:t xml:space="preserve">Assenza 10 — P2 × Sudafrica.</w:t>
      </w:r>
      <w:r>
        <w:t xml:space="preserve"> </w:t>
      </w:r>
      <w:r>
        <w:t xml:space="preserve">Statuto: congetturale. Il rapporto SNI del 1983 descrive la P2 come attiva nel contrabbando d’armi, ma il collegamento specifico con Pretoria non è documentato.</w:t>
      </w:r>
    </w:p>
    <w:p>
      <w:pPr>
        <w:pStyle w:val="BodyText"/>
      </w:pPr>
      <w:r>
        <w:rPr>
          <w:bCs/>
          <w:b/>
        </w:rPr>
        <w:t xml:space="preserve">Assenza 11 — Servizi brasiliani × servizi sudafricani.</w:t>
      </w:r>
      <w:r>
        <w:t xml:space="preserve"> </w:t>
      </w:r>
      <w:r>
        <w:t xml:space="preserve">Statuto: assenza di prove. L’SNI è documentato come nodo di Condor con partner nel Cono Sur, negli Stati Uniti e in Israele, ma non con il Sudafrica.</w:t>
      </w:r>
    </w:p>
    <w:p>
      <w:pPr>
        <w:pStyle w:val="BodyText"/>
      </w:pPr>
      <w:r>
        <w:rPr>
          <w:bCs/>
          <w:b/>
        </w:rPr>
        <w:t xml:space="preserve">Assenza 12 — Analisi dei servizi orientali sugli omicidi di Mondlane e Cabral.</w:t>
      </w:r>
      <w:r>
        <w:t xml:space="preserve"> </w:t>
      </w:r>
      <w:r>
        <w:t xml:space="preserve">Statuto: assenza di prove. Le attribuzioni ad Aginter provengono esclusivamente da servizi occidentali e da fonti portoghesi. È l’assenza più controintuitiva del corpus: la vittima apparteneva al campo sostenuto dall’Est, ma non risulta che l’Est abbia prodotto un’analisi identificativa dell’esecutore.</w:t>
      </w:r>
    </w:p>
    <w:p>
      <w:r>
        <w:pict>
          <v:rect style="width:0;height:1.5pt" o:hralign="center" o:hrstd="t" o:hr="t"/>
        </w:pict>
      </w:r>
    </w:p>
    <w:bookmarkEnd w:id="72"/>
    <w:bookmarkEnd w:id="73"/>
    <w:bookmarkStart w:id="80" w:name="Xb5f5b3938590497976fc6e51bef101ace64576b"/>
    <w:p>
      <w:pPr>
        <w:pStyle w:val="Heading2"/>
      </w:pPr>
      <w:r>
        <w:t xml:space="preserve">PARTE DECIMA — INVENTARIO DIAGNOSTICO DELLE LACUNE E AGENDA</w:t>
      </w:r>
    </w:p>
    <w:bookmarkStart w:id="74" w:name="lacuna-procedurale"/>
    <w:p>
      <w:pPr>
        <w:pStyle w:val="Heading3"/>
      </w:pPr>
      <w:r>
        <w:t xml:space="preserve">10.1 Lacuna procedurale</w:t>
      </w:r>
    </w:p>
    <w:p>
      <w:pPr>
        <w:pStyle w:val="FirstParagraph"/>
      </w:pPr>
      <w:r>
        <w:t xml:space="preserve">L’Unità 9 sul Giappone non è stata eseguita. Il comando fu redatto integralmente in due occasioni e in entrambe il lancio fallì per indisponibilità dello strumento. Il comando conservato copriva cinque dimensioni: verifica di corrispondenti o coperture Aginter in Giappone, con esito atteso negativo; approfondimento del dettaglio delle batterie fabbricate a Osaka nell’ordigno di Dar es Salaam; il circuito anticomunista giapponese con Sasakawa Ryōichi, Kodama Yoshio, Osami Kuboki e la conferenza WACL di Tokyo o Kyoto del 1970; la ricezione di Yukio Mishima e del Tatenokai nel neofascismo europeo dopo il 25 novembre 1970; l’eventuale schedatura della sinistra radicale giapponese, dallo Zengakuren all’Armata Rossa di Fusako Shigenobu e alla strage di Lod del 30 maggio 1972.</w:t>
      </w:r>
      <w:r>
        <w:t xml:space="preserve"> </w:t>
      </w:r>
      <w:r>
        <w:rPr>
          <w:bCs/>
          <w:b/>
        </w:rPr>
        <w:t xml:space="preserve">Priorità di esecuzione: massima.</w:t>
      </w:r>
      <w:r>
        <w:t xml:space="preserve"> </w:t>
      </w:r>
      <w:r>
        <w:t xml:space="preserve">È l’unico segmento del perimetro asiatico rimasto non verificato, e la sua esecuzione chiuderebbe formalmente il ciclo delle verifiche di geografia operativa.</w:t>
      </w:r>
    </w:p>
    <w:bookmarkEnd w:id="74"/>
    <w:bookmarkStart w:id="75" w:name="lacune-di-fonte-primaria"/>
    <w:p>
      <w:pPr>
        <w:pStyle w:val="Heading3"/>
      </w:pPr>
      <w:r>
        <w:t xml:space="preserve">10.2 Lacune di fonte primaria</w:t>
      </w:r>
    </w:p>
    <w:p>
      <w:pPr>
        <w:pStyle w:val="FirstParagraph"/>
      </w:pPr>
      <w:r>
        <w:t xml:space="preserve">Testi integrali non consultati e la cui acquisizione consentirebbe promozioni di livello: i due articoli accademici del 2026, segnatamente quello su European Politics and Society relativo alla visione geopolitica di Aginter, la cui sezione sulle rappresentazioni dei conflitti internazionali e il cui elenco completo dei bollettini AGP costituiscono il singolo elemento più utile a convertire l’assenza di prove in qualcosa di più prossimo alla prova di assenza; «L’Orchestre noir» di Laurent; il volume di Christie su Delle Chiaie; il capitolo di Bale nella raccolta Routledge; l’audizione integrale di Salvini alla Commissione stragi del 12 febbraio 1997; il testo di «Notre Action Politique»; il documento ONU S/AC.20/27 del 1980 con la replica italiana alle accuse di Abdul Minty; gli indici analitici cartacei dei due volumi Andrew-Mitrokhin.</w:t>
      </w:r>
    </w:p>
    <w:bookmarkEnd w:id="75"/>
    <w:bookmarkStart w:id="76" w:name="lacune-archivistiche"/>
    <w:p>
      <w:pPr>
        <w:pStyle w:val="Heading3"/>
      </w:pPr>
      <w:r>
        <w:t xml:space="preserve">10.3 Lacune archivistiche</w:t>
      </w:r>
    </w:p>
    <w:p>
      <w:pPr>
        <w:pStyle w:val="FirstParagraph"/>
      </w:pPr>
      <w:r>
        <w:t xml:space="preserve">Interrogazione non completata dei cataloghi digitalizzati ABS di Praga, BStU, CNSAS, COMDOS e IPN sulle stringhe Aginter, Guérin, Sérac, Guillou e Ordre et Tradition. Verifica non completata sul fondo PIDE/DGS della Torre do Tombo circa l’esistenza di materiale di analisi prodotto</w:t>
      </w:r>
      <w:r>
        <w:t xml:space="preserve"> </w:t>
      </w:r>
      <w:r>
        <w:rPr>
          <w:bCs/>
          <w:b/>
        </w:rPr>
        <w:t xml:space="preserve">da</w:t>
      </w:r>
      <w:r>
        <w:t xml:space="preserve"> </w:t>
      </w:r>
      <w:r>
        <w:t xml:space="preserve">Aginter</w:t>
      </w:r>
      <w:r>
        <w:t xml:space="preserve"> </w:t>
      </w:r>
      <w:r>
        <w:rPr>
          <w:bCs/>
          <w:b/>
        </w:rPr>
        <w:t xml:space="preserve">sui</w:t>
      </w:r>
      <w:r>
        <w:t xml:space="preserve"> </w:t>
      </w:r>
      <w:r>
        <w:t xml:space="preserve">servizi dell’Est, segnatamente moduli di corso o dossier sul KGB, che colmerebbe la lacuna rilevata nell’Unità 8.</w:t>
      </w:r>
    </w:p>
    <w:bookmarkEnd w:id="76"/>
    <w:bookmarkStart w:id="77" w:name="lacune-fattuali-specifiche"/>
    <w:p>
      <w:pPr>
        <w:pStyle w:val="Heading3"/>
      </w:pPr>
      <w:r>
        <w:t xml:space="preserve">10.4 Lacune fattuali specifiche</w:t>
      </w:r>
    </w:p>
    <w:p>
      <w:pPr>
        <w:pStyle w:val="FirstParagraph"/>
      </w:pPr>
      <w:r>
        <w:t xml:space="preserve">Ruolo di Robert Leroy in Libano nel 1975-1976: acquisire memorialistica dei volontari europei nel campo maronita e atti processuali italiani; la soglia di promozione da Livello C a Livello B è una fonte primaria che lo collochi nominalmente sul teatro. Latitanza libanese di Roberto Fiore e presunto ruolo dell’MI6: la soglia è l’esistenza di un atto processuale, italiano o britannico; in sua assenza il punto resta ricostruzione giornalistica non provata. Contenuto del documento ONU del 1980. Statuto formale del riconoscimento degli alauiti da parte di Musa al-Sadr, con la controversia aperta dalla tesi della missing fatwa. Data esatta della fatwa anticomunista di al-Hakim, con discrepanza fra la datazione al 12 febbraio 1960 e le fonti che parlano di due responsi nel 1379 dell’egira. Partecipazione italiana a UNTAG. Coinvolgimento specifico di Oto Melara, Beretta, SNIA/BPD e Agusta in forniture ad Armscor sotto embargo. Passaggi del rapporto finale della TRC sudafricana che nominino l’Italia o singole imprese italiane. Trasferimenti Valsella al Sudafrica.</w:t>
      </w:r>
    </w:p>
    <w:bookmarkEnd w:id="77"/>
    <w:bookmarkStart w:id="78" w:name="avvertenze-sulla-qualità-delle-fonti"/>
    <w:p>
      <w:pPr>
        <w:pStyle w:val="Heading3"/>
      </w:pPr>
      <w:r>
        <w:t xml:space="preserve">10.5 Avvertenze sulla qualità delle fonti</w:t>
      </w:r>
    </w:p>
    <w:p>
      <w:pPr>
        <w:pStyle w:val="FirstParagraph"/>
      </w:pPr>
      <w:r>
        <w:t xml:space="preserve">Si registrano tre categorie di fonti impiegate nel corpus che richiedono cautela differenziata. Le fonti militanti e memorialistiche di area, impiegate esclusivamente per l’auto-rappresentazione degli attori e per citazioni verificabili incrociate, mai come accertamento fattuale indipendente. Le fonti di defector, segnatamente Pacepa, da trattare con cautela critica rafforzata. Le narrazioni orientate, segnatamente la tesi di Claire Sterling sul terrorismo teleguidato da Mosca, ridimensionata da valutazioni interne alla stessa CIA. Si registra inoltre il rilievo di originalità mosso da Pešta alla monografia di Muehlenbeck, che ne consiglia l’uso con verifica incrociata sui documenti già editi da Zídek.</w:t>
      </w:r>
    </w:p>
    <w:bookmarkEnd w:id="78"/>
    <w:bookmarkStart w:id="79" w:name="agenda-di-lavorazione"/>
    <w:p>
      <w:pPr>
        <w:pStyle w:val="Heading3"/>
      </w:pPr>
      <w:r>
        <w:t xml:space="preserve">10.6 Agenda di lavorazione</w:t>
      </w:r>
    </w:p>
    <w:p>
      <w:pPr>
        <w:pStyle w:val="FirstParagraph"/>
      </w:pPr>
      <w:r>
        <w:t xml:space="preserve">Prima priorità: esecuzione dell’Unità 9. Seconda priorità: acquisizione dei testi integrali indicati al paragrafo 10.2, con precedenza all’articolo del 2026 sulla visione geopolitica. Terza priorità: interrogazione dei cataloghi archivistici orientali. Quarta priorità: integrazione del presente Registro nella successiva versione cumulativa del Registro complessivo, con ricalcolo delle metriche di centralità su base assoluta anziché relativa al corpus. Quinta priorità: valutazione dell’opportunità di estendere la categoria dei nodi-assenza agli altri corpora del progetto, poiché la sua introduzione in questa sede si è rivelata analiticamente produttiva e potrebbe consentire il recupero sistematico di risultati negativi finora dispersi.</w:t>
      </w:r>
    </w:p>
    <w:p>
      <w:r>
        <w:pict>
          <v:rect style="width:0;height:1.5pt" o:hralign="center" o:hrstd="t" o:hr="t"/>
        </w:pict>
      </w:r>
    </w:p>
    <w:p>
      <w:pPr>
        <w:pStyle w:val="FirstParagraph"/>
      </w:pPr>
      <w:r>
        <w:rPr>
          <w:iCs/>
          <w:i/>
        </w:rPr>
        <w:t xml:space="preserve">Registro Analitico dei Nodi — Corpus Ricerche Transnazionali della Guerra Fredda. Compilazione del 4 agosto 2026. Unità documentale autonoma destinata a confluire nella successiva versione cumulativa del Registro complessivo di ITALIA NERA.</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2026-08-04T06:04:20Z</dcterms:created>
  <dcterms:modified xsi:type="dcterms:W3CDTF">2026-08-04T06:04:20Z</dcterms:modified>
</cp:coreProperties>
</file>

<file path=docProps/custom.xml><?xml version="1.0" encoding="utf-8"?>
<Properties xmlns="http://schemas.openxmlformats.org/officeDocument/2006/custom-properties" xmlns:vt="http://schemas.openxmlformats.org/officeDocument/2006/docPropsVTypes"/>
</file>