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200" w:after="120"/>
        <w:ind w:firstLine="0"/>
        <w:jc w:val="center"/>
      </w:pPr>
      <w:r>
        <w:rPr>
          <w:rFonts w:ascii="Times New Roman" w:hAnsi="Times New Roman" w:cs="Times New Roman" w:eastAsia="Times New Roman"/>
          <w:b/>
          <w:i w:val="0"/>
          <w:sz w:val="44"/>
        </w:rPr>
        <w:t>ITALIA NERA</w:t>
      </w:r>
    </w:p>
    <w:p>
      <w:pPr>
        <w:spacing w:line="276" w:lineRule="auto" w:before="0" w:after="80"/>
        <w:ind w:firstLine="0"/>
        <w:jc w:val="center"/>
      </w:pPr>
      <w:r>
        <w:rPr>
          <w:rFonts w:ascii="Times New Roman" w:hAnsi="Times New Roman" w:cs="Times New Roman" w:eastAsia="Times New Roman"/>
          <w:b/>
          <w:i w:val="0"/>
          <w:sz w:val="34"/>
        </w:rPr>
        <w:t>REGISTRO ANALITICO DEI NODI</w:t>
      </w:r>
    </w:p>
    <w:p>
      <w:pPr>
        <w:spacing w:line="276" w:lineRule="auto" w:before="0" w:after="280"/>
        <w:ind w:firstLine="0"/>
        <w:jc w:val="center"/>
      </w:pPr>
      <w:r>
        <w:rPr>
          <w:rFonts w:ascii="Times New Roman" w:hAnsi="Times New Roman" w:cs="Times New Roman" w:eastAsia="Times New Roman"/>
          <w:b/>
          <w:i w:val="0"/>
          <w:sz w:val="26"/>
        </w:rPr>
        <w:t>Corpus integrale della sessione del due agosto duemilaventisei</w:t>
      </w:r>
    </w:p>
    <w:p>
      <w:pPr>
        <w:spacing w:line="276" w:lineRule="auto" w:before="0" w:after="160"/>
        <w:ind w:firstLine="425"/>
        <w:jc w:val="both"/>
      </w:pPr>
      <w:r>
        <w:rPr>
          <w:rFonts w:ascii="Times New Roman" w:hAnsi="Times New Roman" w:cs="Times New Roman" w:eastAsia="Times New Roman"/>
          <w:b w:val="0"/>
          <w:i w:val="0"/>
          <w:sz w:val="24"/>
        </w:rPr>
        <w:t>*Caratterizzazione documentale: cinquantasette documenti distinti per impronta testuale — cinquecentottantaduemilasettecentocinquantotto parole effettive trascritte, oltre al verbale della novantanovesima seduta acquisito per lettura visiva da scansione priva di strato testuale. Architettura: dieci Domini di Potere, sedici Pattern analitici, sei tipi di arco inter dominio, classificazione Savona a tre livelli su ciascuna asserzione. Quattro Modalità di compilazione: nodi persona, nodi organizzazione, nodi evento, nodi geografici. Standard: Times New Roman dodici punti, formato A quattro, margini millequattrocentoquaranta twip, giustificato, prosa accademico narrativa continua senza tabelle né elenchi.*</w:t>
      </w:r>
    </w:p>
    <w:p>
      <w:pPr>
        <w:spacing w:line="276" w:lineRule="auto" w:before="0" w:after="200"/>
        <w:ind w:firstLine="425"/>
        <w:jc w:val="both"/>
      </w:pPr>
      <w:r>
        <w:rPr>
          <w:rFonts w:ascii="Times New Roman" w:hAnsi="Times New Roman" w:cs="Times New Roman" w:eastAsia="Times New Roman"/>
          <w:b w:val="0"/>
          <w:i w:val="0"/>
          <w:sz w:val="24"/>
        </w:rPr>
        <w:t>*Documento prodotto secondo PROTOCOLLO ZERO TOKEN e METODOLOGIA DEL PROCESSO PERMANENTE. Il presente Registro discende dall'edizione integrale del Registro Unico Federato e ne costituisce lo strumento analitico complementare: il Registro Unico custodisce la cumulazione costituzionale, il presente Registro cataloga i nodi.*</w:t>
      </w:r>
    </w:p>
    <w:p>
      <w:pPr>
        <w:spacing w:line="276" w:lineRule="auto" w:before="0" w:after="40"/>
        <w:ind w:firstLine="0"/>
        <w:jc w:val="center"/>
      </w:pPr>
      <w:r>
        <w:rPr>
          <w:rFonts w:ascii="Times New Roman" w:hAnsi="Times New Roman" w:cs="Times New Roman" w:eastAsia="Times New Roman"/>
          <w:b/>
          <w:i w:val="0"/>
          <w:sz w:val="26"/>
        </w:rPr>
        <w:t>Luigi De Michele</w:t>
      </w:r>
    </w:p>
    <w:p>
      <w:pPr>
        <w:spacing w:line="276" w:lineRule="auto" w:before="0" w:after="0"/>
        <w:ind w:firstLine="425"/>
        <w:jc w:val="both"/>
      </w:pPr>
      <w:r>
        <w:rPr>
          <w:rFonts w:ascii="Times New Roman" w:hAnsi="Times New Roman" w:cs="Times New Roman" w:eastAsia="Times New Roman"/>
          <w:b w:val="0"/>
          <w:i w:val="0"/>
          <w:sz w:val="24"/>
        </w:rPr>
        <w:t>*Due agosto duemilaventisei*</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PREMESSA METODOLOGICA</w:t>
      </w:r>
    </w:p>
    <w:p>
      <w:pPr>
        <w:spacing w:line="276" w:lineRule="auto" w:before="0" w:after="120"/>
        <w:ind w:firstLine="425"/>
        <w:jc w:val="both"/>
      </w:pPr>
      <w:r>
        <w:rPr>
          <w:rFonts w:ascii="Times New Roman" w:hAnsi="Times New Roman" w:cs="Times New Roman" w:eastAsia="Times New Roman"/>
          <w:b w:val="0"/>
          <w:i w:val="0"/>
          <w:sz w:val="24"/>
        </w:rPr>
        <w:t>Il presente Registro Analitico dei Nodi cataloga integralmente le entità emerse dal corpus della sessione del due agosto duemilaventisei, che costituisce il più esteso incremento documentale della storia del progetto: cinquantasette documenti distinti per impronta testuale, per complessive cinquecentottantaduemilasettecentocinquantotto parole, articolati in sei blocchi per natura della fonte — fonti normative e pattizie, atti parlamentari italiani, fonti di intelligence declassificate, fonti accademiche e monografiche, registri criminali e dossier sull'influenza contemporanea, materiale sottoposto a controllo di provenienza.</w:t>
      </w:r>
    </w:p>
    <w:p>
      <w:pPr>
        <w:spacing w:line="276" w:lineRule="auto" w:before="0" w:after="120"/>
        <w:ind w:firstLine="425"/>
        <w:jc w:val="both"/>
      </w:pPr>
      <w:r>
        <w:rPr>
          <w:rFonts w:ascii="Times New Roman" w:hAnsi="Times New Roman" w:cs="Times New Roman" w:eastAsia="Times New Roman"/>
          <w:b w:val="0"/>
          <w:i w:val="0"/>
          <w:sz w:val="24"/>
        </w:rPr>
        <w:t xml:space="preserve">Ogni asserzione reca inline la classificazione Savona: il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richiede la convergenza di almeno tre fonti indipendenti di natura diversa ovvero un atto pubblico verificabile, il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la convergenza di due fonti indipendenti ovvero una fonte singola di alta affidabilità, il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designa l'ipotesi investigativa che richiede ulteriore verifica. Le misurazioni di co occorrenza sono state eseguite con corrispondenza per confini di parola, in applicazione della prima regola di procedura promulgata nella presente sessione dopo l'accertamento di artefatti da sottostringa fino al trentadue per cento su singoli nodi. I documenti privi di apparato di fonti sono stati sottoposti a controllo di provenienza, e la produzione conversazionale non attribuita è stata esclusa dall'ammissibilità probatoria in qualsiasi livello.</w:t>
      </w:r>
    </w:p>
    <w:p>
      <w:pPr>
        <w:spacing w:line="276" w:lineRule="auto" w:before="0" w:after="120"/>
        <w:ind w:firstLine="425"/>
        <w:jc w:val="both"/>
      </w:pPr>
      <w:r>
        <w:rPr>
          <w:rFonts w:ascii="Times New Roman" w:hAnsi="Times New Roman" w:cs="Times New Roman" w:eastAsia="Times New Roman"/>
          <w:b w:val="0"/>
          <w:i w:val="0"/>
          <w:sz w:val="24"/>
        </w:rPr>
        <w:t>Il Registro osserva la distinzione fra i tre piani che la Regola di Ferro vieta di oltrepassare: la condotta accertata, la responsabilità di posizione e il movente, il quale non è mai conclusione ma oggetto d'indagine. I rigetti sono iscritti con pari dignità delle acquisizioni, poiché un apparato che produca soltanto conferme non misura l'oggetto ma se stesso.</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PRIMA — CATALOGO DEI NODI PERSONA</w:t>
      </w:r>
    </w:p>
    <w:p>
      <w:pPr>
        <w:spacing w:line="276" w:lineRule="auto" w:before="240" w:after="120"/>
        <w:ind w:firstLine="0"/>
        <w:jc w:val="both"/>
      </w:pPr>
      <w:r>
        <w:rPr>
          <w:rFonts w:ascii="Times New Roman" w:hAnsi="Times New Roman" w:cs="Times New Roman" w:eastAsia="Times New Roman"/>
          <w:b/>
          <w:i w:val="0"/>
          <w:sz w:val="24"/>
        </w:rPr>
        <w:t>Sezione prima. Strato dell'influenza contemporanea, duemiladiciotto duemilaventisei</w:t>
      </w:r>
    </w:p>
    <w:p>
      <w:pPr>
        <w:spacing w:line="276" w:lineRule="auto" w:before="0" w:after="120"/>
        <w:ind w:firstLine="425"/>
        <w:jc w:val="both"/>
      </w:pPr>
      <w:r>
        <w:rPr>
          <w:rFonts w:ascii="Times New Roman" w:hAnsi="Times New Roman" w:cs="Times New Roman" w:eastAsia="Times New Roman"/>
          <w:b w:val="0"/>
          <w:i w:val="0"/>
          <w:sz w:val="24"/>
        </w:rPr>
        <w:t xml:space="preserve">Gianfranco Vestuto, nato a Napoli l'undici febbraio millenovecentosessanta, giornalista iscritto all'Ordine del Lazio con tessera zero novantadue mila centosettantaquattro, è il nodo editoriale dell'Asse Italeurasia: direttore delle testate Russia News, Eurasia News e Azerbaijan News, editore del canale televisivo Eurasia News TV attivo sul canale sessantotto del digitale terrestre romano dal sedici settembre duemilaventicinque, fondatore nel millenovecentonovantasei della Lega Sud Ausonia e candidato sindaco a Milano nel duemilaundici. L'identità e le cariche sono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saldatura verso il Dominio primo, mediata dalla contiguità della galassia Noi Sud con le liste gestite dall'avvocato Paolo Romeo secondo l'istruttoria Gotha,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Vito Grittani, nato a Capurso intorno al millenovecentosessantaquattro, cittadino abcaso dal duemiladiciotto e ambasciatore a disposizione di quella entità dall'agosto duemilasedici, fondatore nel millenovecentonovantatré dell'Organizzazione per la Democrazia Internazionale e ideatore dell'Agenzia Internazionale per la Cooperazione Regionale IACRAI, ha organizzato o partecipato a sei missioni di pseudo osservazione elettorale fra il duemilaventidue e il duemilaventicinque nei territori occupati e negli Stati post sovietici. La fotografia con Matteo Salvini a Bari del ventinove agosto duemilaventi e l'inclusione nella lista degli osservatori del Donbass pubblicata dalla Gazzetta del Mezzogiorno il trenta settembre duemilaventidue sono documentate; il nodo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Vittorio Gigliotti, lametino, animatore del Cantiere Laboratorio e coordinatore per il Mezzogiorno del movimento facente capo al generale Vannacci secondo la Gazzetta del Sud del ventitré agosto duemilaventiquattro, proveniente dall'area di Forza Nuova e della Fiamma, ha organizzato tre conferenze dedicate a Corneliu Codreanu e ha compiuto nell'aprile duemilaventicinque una missione a Lugansk documentata dall'incontro con Goncharov e dalla copertura dell'emittente Tsargrad. Il nodo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La cellula triestina si compone di Giorgio Descovich, dirigente in quiescenza di Autovie Venete, promotore dell'Osservatorio Libero di Trieste costituito il venticinque gennaio duemilaventiquattro con richiamo espresso allo statuto internazionale del millenovecentoquarantasette e autoqualificazione di cittadino del Territorio Libero sotto giurisdizione delle Nazioni Unite, e di Ugo Rossi, già consigliere comunale eletto nel duemilaventuno nella lista Tre V, condannato in primo grado a sei mesi, transitato nel marzo duemilaventisei verso il movimento del generale Vannacci. Il protocollo firmato a Sukhumi il diciassette febbraio duemilaventicinque, con la partecipazione dell'ex parlamentare Sara Cunial, salda la cellula alla proiezione caucasica. Identità e atti sono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ogni nesso con il transito criminale documentato sul medesimo territorio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per effetto del secondo vincolo permanente.</w:t>
      </w:r>
    </w:p>
    <w:p>
      <w:pPr>
        <w:spacing w:line="276" w:lineRule="auto" w:before="0" w:after="120"/>
        <w:ind w:firstLine="425"/>
        <w:jc w:val="both"/>
      </w:pPr>
      <w:r>
        <w:rPr>
          <w:rFonts w:ascii="Times New Roman" w:hAnsi="Times New Roman" w:cs="Times New Roman" w:eastAsia="Times New Roman"/>
          <w:b w:val="0"/>
          <w:i w:val="0"/>
          <w:sz w:val="24"/>
        </w:rPr>
        <w:t xml:space="preserve">Vito Petrocelli, già presidente della Commissione Esteri del Senato ed espulso dal Movimento Cinque Stelle, presiede l'Istituto BRICS Italia ed è stato osservatore alle consultazioni bielorusse. L'appartenenza alla rete censita dall'European Platform for Democratic Elections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ogni ipotesi di coordinamento con gli altri nodi italiani della medesima rete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Ilan Shor, moldavo con cittadinanze israeliana e russa, condannato in via definitiva a quindici anni per la frode bancaria che nel duemilaquattordici sottrasse un miliardo di dollari pari al dodici per cento del prodotto interno lordo moldavo, dirige da Mosca una rete a raggiera che il rapporto acquisito documenta nel finanziamento della organizzazione non governativa Eurasia con duecentocinquanta milioni di dollari, nelle sanzioni statunitensi e britanniche e nella costituzione del Blocco Vittoria nell'aprile duemilaventiquattro quale elusione dello scioglimento del partito Şor. Il nodo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L'assenza documentata di ogni connessione con le organizzazioni criminali italiane costituisce il primo falsificante del corpus e resta iscritta con pari dignità.</w:t>
      </w:r>
    </w:p>
    <w:p>
      <w:pPr>
        <w:spacing w:line="276" w:lineRule="auto" w:before="0" w:after="120"/>
        <w:ind w:firstLine="425"/>
        <w:jc w:val="both"/>
      </w:pPr>
      <w:r>
        <w:rPr>
          <w:rFonts w:ascii="Times New Roman" w:hAnsi="Times New Roman" w:cs="Times New Roman" w:eastAsia="Times New Roman"/>
          <w:b w:val="0"/>
          <w:i w:val="0"/>
          <w:sz w:val="24"/>
        </w:rPr>
        <w:t xml:space="preserve">Frank Creyelman, ex senatore belga espulso dal Vlaams Belang nel duemilaventitré, reclutato secondo la documentazione acquisita dall'ufficiale dell'intelligence cinese Daniel Woo, è il nodo che introduce il vettore cinese nel perimetro. Il nodo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e la settima lacuna ne registra l'isolamento strutturale.</w:t>
      </w:r>
    </w:p>
    <w:p>
      <w:pPr>
        <w:spacing w:line="276" w:lineRule="auto" w:before="0" w:after="120"/>
        <w:ind w:firstLine="425"/>
        <w:jc w:val="both"/>
      </w:pPr>
      <w:r>
        <w:rPr>
          <w:rFonts w:ascii="Times New Roman" w:hAnsi="Times New Roman" w:cs="Times New Roman" w:eastAsia="Times New Roman"/>
          <w:b w:val="0"/>
          <w:i w:val="0"/>
          <w:sz w:val="24"/>
        </w:rPr>
        <w:t xml:space="preserve">Pasquale Salatino, presente fra i falsi osservatori, condivide il cognome con un condannato dell'operazione Dioniso contro la cosca Cerra Torcasio Gualtieri di Lamezia. L'identità non è confermata da alcuna fonte indipendente: il nodo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e costituisce la sesta lacuna.</w:t>
      </w:r>
    </w:p>
    <w:p>
      <w:pPr>
        <w:spacing w:line="276" w:lineRule="auto" w:before="240" w:after="120"/>
        <w:ind w:firstLine="0"/>
        <w:jc w:val="both"/>
      </w:pPr>
      <w:r>
        <w:rPr>
          <w:rFonts w:ascii="Times New Roman" w:hAnsi="Times New Roman" w:cs="Times New Roman" w:eastAsia="Times New Roman"/>
          <w:b/>
          <w:i w:val="0"/>
          <w:sz w:val="24"/>
        </w:rPr>
        <w:t>Sezione seconda. Strato storico fondativo, millenovecentoquarantacinque millenovecentonovantatré</w:t>
      </w:r>
    </w:p>
    <w:p>
      <w:pPr>
        <w:spacing w:line="276" w:lineRule="auto" w:before="0" w:after="120"/>
        <w:ind w:firstLine="425"/>
        <w:jc w:val="both"/>
      </w:pPr>
      <w:r>
        <w:rPr>
          <w:rFonts w:ascii="Times New Roman" w:hAnsi="Times New Roman" w:cs="Times New Roman" w:eastAsia="Times New Roman"/>
          <w:b w:val="0"/>
          <w:i w:val="0"/>
          <w:sz w:val="24"/>
        </w:rPr>
        <w:t xml:space="preserve">Augusto Turati, già segretario del Partito Nazionale Fascista, è il nodo che la presente sessione ha trasformato da voce isolata in entità attestata: quarantatré occorrenze autentiche con confini di parola in quattro documenti statunitensi indipendenti. Il rapporto del Central Intelligence Group del ventidue dicembre millenovecentoquarantasei lo colloca nella Lega Italica; il rapporto segreto del venti marzo millenovecentoquarantasette, segnatura CIA RDP82 zero zero quattro cinque sette R zero zero zero quattro zero zero quattro due zero zero uno zero quattro, rilasciato il ventisei febbraio millenovecentonovantanove, lo documenta nascosto in Vaticano, in contatto con ufficiali americani, finanziato da Achille Lauro, destinatario di un tentativo di finanziamento massonico e collegato all'investimento in oro di Giannini. L'esistenza e il contenuto dei rapporti sono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le loro asserzioni, produzione informativa non riscontrata, restano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L'ospitalità vaticana realizza l'arco di Ospitalità e Santuario sul Dominio quinto, primo caso del corpus sostenuto da fonte primaria coeva.</w:t>
      </w:r>
    </w:p>
    <w:p>
      <w:pPr>
        <w:spacing w:line="276" w:lineRule="auto" w:before="0" w:after="120"/>
        <w:ind w:firstLine="425"/>
        <w:jc w:val="both"/>
      </w:pPr>
      <w:r>
        <w:rPr>
          <w:rFonts w:ascii="Times New Roman" w:hAnsi="Times New Roman" w:cs="Times New Roman" w:eastAsia="Times New Roman"/>
          <w:b w:val="0"/>
          <w:i w:val="0"/>
          <w:sz w:val="24"/>
        </w:rPr>
        <w:t xml:space="preserve">Junio Valerio Borghese è il nodo a maggiore diffusione documentale del lotto statunitense: nove documenti con confini di parola, cinquantasette occorrenze. Il rapporto del millenovecentoquarantasei lo registra detenuto mentre la Decima Flottiglia si riorganizza sotto Ezio Maria Gray con i finanziamenti del Marchese Paterno, del Commendatore Luce e dell'impresa Tudini e Talenti; il rapporto segreto del quattordici novembre millenovecentocinquantuno, segnatura CIA RDP82 zero zero quattro cinque sette R zero zero nove due zero zero uno cinque zero zero zero quattro quattro, lo documenta attivo con finanziamento franchista e squadre d'azione; il Golpe del millenovecentosettanta ne chiude la traiettoria. La continuità documentale diciannove anni prima del golpe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all'esistenza dei rapporti.</w:t>
      </w:r>
    </w:p>
    <w:p>
      <w:pPr>
        <w:spacing w:line="276" w:lineRule="auto" w:before="0" w:after="120"/>
        <w:ind w:firstLine="425"/>
        <w:jc w:val="both"/>
      </w:pPr>
      <w:r>
        <w:rPr>
          <w:rFonts w:ascii="Times New Roman" w:hAnsi="Times New Roman" w:cs="Times New Roman" w:eastAsia="Times New Roman"/>
          <w:b w:val="0"/>
          <w:i w:val="0"/>
          <w:sz w:val="24"/>
        </w:rPr>
        <w:t xml:space="preserve">Francesco Paolo Orlando, fondatore del Partito Comunista Indipendente, formazione che si presentava come comunista, era finanziata dai monarchici per sottrarre consensi al Partito Comunista Italiano e collaborava con ambienti americani secondo il rapporto del millenovecentoquarantasei, è il nodo che documenta la tecnica del partito di copertura ideologica nell'Italia del dopoguerra.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all'esistenza del rapporto,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quanto alla sostanza; il nodo non autorizza alcuna estensione alla macro ipotesi.</w:t>
      </w:r>
    </w:p>
    <w:p>
      <w:pPr>
        <w:spacing w:line="276" w:lineRule="auto" w:before="0" w:after="120"/>
        <w:ind w:firstLine="425"/>
        <w:jc w:val="both"/>
      </w:pPr>
      <w:r>
        <w:rPr>
          <w:rFonts w:ascii="Times New Roman" w:hAnsi="Times New Roman" w:cs="Times New Roman" w:eastAsia="Times New Roman"/>
          <w:b w:val="0"/>
          <w:i w:val="0"/>
          <w:sz w:val="24"/>
        </w:rPr>
        <w:t xml:space="preserve">I generali Navarra Viggiani e Alessandro Piazzoni, indicati dal medesimo rapporto quali referenti massonici della direzione occulta del neofascismo settentrionale affidata a un ufficiale designato come Colonnello M, costituiscono il primo strato della catena longitudinale sul nesso fra Dominio quarto e Dominio primo,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in ragione della fonte singola non riscontrata.</w:t>
      </w:r>
    </w:p>
    <w:p>
      <w:pPr>
        <w:spacing w:line="276" w:lineRule="auto" w:before="0" w:after="120"/>
        <w:ind w:firstLine="425"/>
        <w:jc w:val="both"/>
      </w:pPr>
      <w:r>
        <w:rPr>
          <w:rFonts w:ascii="Times New Roman" w:hAnsi="Times New Roman" w:cs="Times New Roman" w:eastAsia="Times New Roman"/>
          <w:b w:val="0"/>
          <w:i w:val="0"/>
          <w:sz w:val="24"/>
        </w:rPr>
        <w:t xml:space="preserve">Allen Dulles e Ferruccio Parri formano la coppia documentale della rogatoria internazionale della Corte d'Appello di Milano: l'interrogatorio del Direttore della Central Intelligence Agency sulla liberazione di Parri dalla prigionia tedesca nel marzo millenovecentoquarantacinque, segnatura CIA RDP57 zero zero tre otto quattro R zero zero uno uno zero zero zero cinque zero zero zero tre quattro, tre pagine in collocazione giudiziaria, rilasciato il nove marzo duemilauno. È il documento che chiude nella sua parte centrale la seconda lacuna: non ciò che l'intelligence statunitense osservava, ma il suo vertice che risponde all'autorità giudiziaria italiana su un'operazione condotta in Italia. Il fatto documentale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Yves Guérin Sérac, al secolo Yves Félix Marie Guillou, fondatore a Lisbona nel settembre millenovecentosessantasei dell'Aginter Press sotto protezione della polizia politica portoghese, con trascorsi nell'Organisation Armée Secrète e finanziamenti attribuiti anche a canali statunitensi, è documentato da due fonti convergenti del corpus quale organizzatore di una struttura di addestramento all'attentato, all'assassinio e all'infiltrazione. Il nodo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Stefano Delle Chiaie, indicato da Vincenzo Vinciguerra e da Michael Townley, ne costituisce la proiezione italiana e latinoamericana, parimenti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Vincenzo Vinciguerra, reo confesso della strage di Peteano, trenta occorrenze con confini di parola, è il ponte fra la memorialistica della destra radicale e l'accertamento parlamentare: la novantanovesima seduta deliberò l'accesso al carcere di Parma dei parlamentari Toth, Cipriani, Cicciomessere e Serra, e la testimonianza da lui resa al pubblico ministero Giovanni Salvia è la fonte che porta al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il segmento italiano della quinta lacuna.</w:t>
      </w:r>
    </w:p>
    <w:p>
      <w:pPr>
        <w:spacing w:line="276" w:lineRule="auto" w:before="0" w:after="120"/>
        <w:ind w:firstLine="425"/>
        <w:jc w:val="both"/>
      </w:pPr>
      <w:r>
        <w:rPr>
          <w:rFonts w:ascii="Times New Roman" w:hAnsi="Times New Roman" w:cs="Times New Roman" w:eastAsia="Times New Roman"/>
          <w:b w:val="0"/>
          <w:i w:val="0"/>
          <w:sz w:val="24"/>
        </w:rPr>
        <w:t xml:space="preserve">Heinz Felfe, già ufficiale delle SS e capo del controspionaggio antisovietico del servizio federale tedesco, arrestato il sei novembre millenovecentosessantuno su indicazioni dei transfughi Golitsyn e Goleniewski, condannato a quattordici anni nel millenovecentosessantatré e scambiato nel millenovecentosessantanove, definito dalla National Security Agency la porta di servizio del blocco orientale; Heidrun Hofer del Dipartimento quarto di Monaco con accesso alla documentazione atlantica classificata; i ventinove ricevitori della Stasi organizzati in nove gruppi: questi nodi sostengono l'ipotesi della penetrazione unilaterale,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che costituisce il secondo falsificante e la spiegazione alternativa più forte alla convergenza degli effetti postulata dalla macro ipotesi.</w:t>
      </w:r>
    </w:p>
    <w:p>
      <w:pPr>
        <w:spacing w:line="276" w:lineRule="auto" w:before="0" w:after="120"/>
        <w:ind w:firstLine="425"/>
        <w:jc w:val="both"/>
      </w:pPr>
      <w:r>
        <w:rPr>
          <w:rFonts w:ascii="Times New Roman" w:hAnsi="Times New Roman" w:cs="Times New Roman" w:eastAsia="Times New Roman"/>
          <w:b w:val="0"/>
          <w:i w:val="0"/>
          <w:sz w:val="24"/>
        </w:rPr>
        <w:t xml:space="preserve">Reinhard Gehlen e James Critchfield formano la coppia fondativa dell'apparato: l'organizzazione nata dalla sezione Fremde Heere Ost, amministrata dalla Central Intelligence Agency a Pullach sotto il criptonimo ZIPPER dal millenovecentoquarantanove al millenovecentocinquantasei, transitata nel servizio federale il primo aprile millenovecentocinquantasei; il Clandestine Planning Committee del millenovecentocinquantadue e l'Allied Clandestine Committee del millenovecentocinquantaquattro, con adesione tedesca nel millenovecentocinquantanove e presidenza italiana documentata dal millenovecentosessantaquattro; il documento del Servizio informazioni forze armate del primo giugno millenovecentocinquantanove; l'ammissione del Presidente del Consiglio Andreotti del ventiquattro ottobre millenovecentonovanta con i centotrentanove depositi; la risoluzione del Parlamento europeo del ventidue novembre millenovecentonovanta. La catena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negli atti e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nelle ricostruzioni.</w:t>
      </w:r>
    </w:p>
    <w:p>
      <w:pPr>
        <w:spacing w:line="276" w:lineRule="auto" w:before="240" w:after="120"/>
        <w:ind w:firstLine="0"/>
        <w:jc w:val="both"/>
      </w:pPr>
      <w:r>
        <w:rPr>
          <w:rFonts w:ascii="Times New Roman" w:hAnsi="Times New Roman" w:cs="Times New Roman" w:eastAsia="Times New Roman"/>
          <w:b/>
          <w:i w:val="0"/>
          <w:sz w:val="24"/>
        </w:rPr>
        <w:t>Sezione terza. Strato istituzionale della Repubblica</w:t>
      </w:r>
    </w:p>
    <w:p>
      <w:pPr>
        <w:spacing w:line="276" w:lineRule="auto" w:before="0" w:after="120"/>
        <w:ind w:firstLine="425"/>
        <w:jc w:val="both"/>
      </w:pPr>
      <w:r>
        <w:rPr>
          <w:rFonts w:ascii="Times New Roman" w:hAnsi="Times New Roman" w:cs="Times New Roman" w:eastAsia="Times New Roman"/>
          <w:b w:val="0"/>
          <w:i w:val="0"/>
          <w:sz w:val="24"/>
        </w:rPr>
        <w:t xml:space="preserve">Agostino Cordova, Procuratore di Palmi, audito il ventinove gennaio millenovecentonovantatré nella missione presieduta dal vicepresidente Cabras, il cui resoconto stenografico integrale è acquisito con il Tomo terzo della declassificazione: la definizione della massoneria deviata quale tessuto connettivo del potere occulto, il sequestro dell'elaboratore elettronico del Grande Oriente e di ventidue armadi di archivi da Palazzo Giustiniani e Villa Medici, le richieste ai Ministeri dell'Interno e della Giustizia del sei e dodici novembre millenovecentonovantadue rimaste senza adeguato riscontro, l'intervento della Presidenza del Consiglio sul coordinamento. L'audizione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qualificazione ostruttiva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Il nodo è il precedente diretto dell'operazione Gotha e il secondo strato della catena longitudinale del Dominio quarto.</w:t>
      </w:r>
    </w:p>
    <w:p>
      <w:pPr>
        <w:spacing w:line="276" w:lineRule="auto" w:before="0" w:after="120"/>
        <w:ind w:firstLine="425"/>
        <w:jc w:val="both"/>
      </w:pPr>
      <w:r>
        <w:rPr>
          <w:rFonts w:ascii="Times New Roman" w:hAnsi="Times New Roman" w:cs="Times New Roman" w:eastAsia="Times New Roman"/>
          <w:b w:val="0"/>
          <w:i w:val="0"/>
          <w:sz w:val="24"/>
        </w:rPr>
        <w:t xml:space="preserve">Rosario Livatino, ucciso il ventuno settembre millenovecentonovanta sulla Agrigento Canicattì a trentotto anni, beatificato il nove maggio duemilaventuno, è documentato nella presente sessione da tre Tomi parlamentari e dalla fonte primaria giudiziaria: i Motivi della decisione della sentenza numero trecentodue del ventitré luglio millenovecentottantasette del Tribunale di Agrigento nel procedimento Ferro Antonio e altri, acquisiti dalla pagina novecentoventisette. I decreti di prevenzione patrimoniale dal sedici dicembre millenovecentottantanove al diciassette settembre millenovecentonovanta precisano la logica del bersaglio: non il magistrato in quanto tale ma il giudice delle misure che aggrediscono l'accumulazione. Il nodo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beatificazione realizza l'arco fra Dominio decimo e Dominio quinto, parimenti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Giuliano Di Bernardo, già Gran Maestro del Grande Oriente, audito dal dodicesimo Comitato coordinato dal senatore Corrado nella Sezione ventesima della Relazione Conclusiva, ha dichiarato che la legge diciassette del millenovecentottantadue fu costruita per risultare inefficace, riferendo la valutazione al costituzionalista Paolo Ungari. L'atto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il contenuto de relato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l'incrocio con l'applicazione che Cordova fece della medesima norma trentanove anni prima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Paolo Ungari, massone, collaboratore tecnico della legge, capo di gabinetto nel quarto governo Moro, morto nel millenovecentonovantanove nel vano ascensore di via Ara Coeli: la biografia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ogni qualificazione della morte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e costituisce la quattordicesima lacuna.</w:t>
      </w:r>
    </w:p>
    <w:p>
      <w:pPr>
        <w:spacing w:line="276" w:lineRule="auto" w:before="0" w:after="120"/>
        <w:ind w:firstLine="425"/>
        <w:jc w:val="both"/>
      </w:pPr>
      <w:r>
        <w:rPr>
          <w:rFonts w:ascii="Times New Roman" w:hAnsi="Times New Roman" w:cs="Times New Roman" w:eastAsia="Times New Roman"/>
          <w:b w:val="0"/>
          <w:i w:val="0"/>
          <w:sz w:val="24"/>
        </w:rPr>
        <w:t xml:space="preserve">Vincenzo Scotti, Ministro dell'Interno nel gennaio millenovecentonovantadue — la novantanovesima seduta ne registra l'incontro al Viminale del ventotto gennaio con il gruppo Granelli, Macis e Cicciomessere — e successivamente presidente del soggetto politico Noi Sud documentato dal volume di Yon, disegna la traiettoria del Pattern settimo fra Dominio secondo e galassia meridionale. I fatti sono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nessuna qualificazione collusiva è autorizzata, e la delimitazione è parte integrante del nodo.</w:t>
      </w:r>
    </w:p>
    <w:p>
      <w:pPr>
        <w:spacing w:line="276" w:lineRule="auto" w:before="0" w:after="120"/>
        <w:ind w:firstLine="425"/>
        <w:jc w:val="both"/>
      </w:pPr>
      <w:r>
        <w:rPr>
          <w:rFonts w:ascii="Times New Roman" w:hAnsi="Times New Roman" w:cs="Times New Roman" w:eastAsia="Times New Roman"/>
          <w:b w:val="0"/>
          <w:i w:val="0"/>
          <w:sz w:val="24"/>
        </w:rPr>
        <w:t xml:space="preserve">Il corridoio strutturale dal Dominio decimo verso il Dominio secondo e il Dominio terzo è documentato da quattro traiettorie: Luciano Violante, dalla missione lucana del luglio millenovecentonovantuno con il prefetto Azzarà alla presidenza della Commissione nell'undicesima legislatura con la relazione barcellonese del ventitré gennaio millenovecentonovantatré; Pietro Grasso, dalla magistratura antimafia alla presidenza del Senato, relatore della commemorazione di Livatino con padre Cantalamessa il diciotto maggio duemilaventuno; Alfredo Mantovano, dalla Cassazione alla vicepresidenza del Centro Studi Livatino fino alla Sottosegretariato con delega ai servizi; e la traiettoria Scotti già descritta. I fatti biografici sono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il corridoio documenta la porosità fisiologica fra i domini, non un arco illecito.</w:t>
      </w:r>
    </w:p>
    <w:p>
      <w:pPr>
        <w:spacing w:line="276" w:lineRule="auto" w:before="0" w:after="120"/>
        <w:ind w:firstLine="425"/>
        <w:jc w:val="both"/>
      </w:pPr>
      <w:r>
        <w:rPr>
          <w:rFonts w:ascii="Times New Roman" w:hAnsi="Times New Roman" w:cs="Times New Roman" w:eastAsia="Times New Roman"/>
          <w:b w:val="0"/>
          <w:i w:val="0"/>
          <w:sz w:val="24"/>
        </w:rPr>
        <w:t xml:space="preserve">Tina Anselmi ricorre in sette documenti del corpus, dalla serie SR01 sul caso Moro, ove la sua presenza è estensiva, alle missioni della declassificazione: è il ponte prosopografico fra il nodo Moro e il nodo massonico,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Massimo Mariani, Prefetto di Foggia nel maggio duemiladiciannove e di Reggio Calabria nel dicembre duemilaventuno, e Vincenzo Mangia, dirigente della Direzione Investigativa Antimafia di Bari nelle missioni di Foggia e Scanzano, documentano la rotazione ordinaria del personale apicale verso i territori a maggiore pressione criminale: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ai fatti, con esclusione espressa della qualificazione di arco. La collisione onomastica fra Giovanni Salvia, pubblico ministero della testimonianza Vinciguerra a Parma, e Giovanni Salvi, della Procura di Roma audito l'otto novembre millenovecentonovantatré, è iscritta fra i vincoli.</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SECONDA — CATALOGO DEI NODI ORGANIZZAZIONE</w:t>
      </w:r>
    </w:p>
    <w:p>
      <w:pPr>
        <w:spacing w:line="276" w:lineRule="auto" w:before="240" w:after="120"/>
        <w:ind w:firstLine="0"/>
        <w:jc w:val="both"/>
      </w:pPr>
      <w:r>
        <w:rPr>
          <w:rFonts w:ascii="Times New Roman" w:hAnsi="Times New Roman" w:cs="Times New Roman" w:eastAsia="Times New Roman"/>
          <w:b/>
          <w:i w:val="0"/>
          <w:sz w:val="24"/>
        </w:rPr>
        <w:t>Sezione quarta. La rete contemporanea a proiezione euroasiatica</w:t>
      </w:r>
    </w:p>
    <w:p>
      <w:pPr>
        <w:spacing w:line="276" w:lineRule="auto" w:before="0" w:after="120"/>
        <w:ind w:firstLine="425"/>
        <w:jc w:val="both"/>
      </w:pPr>
      <w:r>
        <w:rPr>
          <w:rFonts w:ascii="Times New Roman" w:hAnsi="Times New Roman" w:cs="Times New Roman" w:eastAsia="Times New Roman"/>
          <w:b w:val="0"/>
          <w:i w:val="0"/>
          <w:sz w:val="24"/>
        </w:rPr>
        <w:t xml:space="preserve">L'Associazione Italeurasia Promonetwork, con sede in via Tiepolo quindici a Mestre e codice fiscale novanta uno sei due sette tre zero due sette zero, editrice di cinque testate con redazione unica, accreditata presso la sala stampa di Montecitorio nella persona della giornalista Bazarova, con conto presso l'istituto di pagamento iCard di Varna, è il nodo organizzativo centrale dell'Asse: l'anomalia del conto estero rispetto alla disciplina antiriciclaggio del decreto legislativo duecentotrentuno del duemilasette è stata segnalata all'Unità di Informazione Finanziaria il dodici maggio duemilaventitré. Il nodo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nella struttura e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nelle funzioni.</w:t>
      </w:r>
    </w:p>
    <w:p>
      <w:pPr>
        <w:spacing w:line="276" w:lineRule="auto" w:before="0" w:after="120"/>
        <w:ind w:firstLine="425"/>
        <w:jc w:val="both"/>
      </w:pPr>
      <w:r>
        <w:rPr>
          <w:rFonts w:ascii="Times New Roman" w:hAnsi="Times New Roman" w:cs="Times New Roman" w:eastAsia="Times New Roman"/>
          <w:b w:val="0"/>
          <w:i w:val="0"/>
          <w:sz w:val="24"/>
        </w:rPr>
        <w:t xml:space="preserve">L'Agenzia Internazionale per la Cooperazione Regionale IACRAI, costituita a Lamezia il quattro dicembre duemilaventuno presso il notaio Prunia, qualificata falsa camera di commercio dal Corriere della Calabria, con sede in via Crati condivisa dal cinque novembre duemilaventidue, è il veicolo istituzionale della rete Grittani,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La Lega Sud Ausonia e la galassia Noi Sud, con la presidenza Scotti, il gruppo parlamentare Popolo e Territorio a sei deputati e il tre virgola sei per cento alle regionali campane del duemiladieci, sono il ponte fra lo strato contemporaneo e l'istruttoria Gotha, la quale documenta liste elettorali gestite in tutto e per tutto dall'avvocato Paolo Romeo, condannato a venticinque anni in primo grado, e il parlamentare Belcastro che ne presentava il ruolo di capo segreteria. Il nesso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La organizzazione non governativa Eurasia e il Blocco Vittoria, finanziati dalla rete Shor con duecentocinquanta milioni di dollari e costituiti nell'aprile duemilaventiquattro quale elusione dello scioglimento giudiziario del partito, completano il versante moldavo,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240" w:after="120"/>
        <w:ind w:firstLine="0"/>
        <w:jc w:val="both"/>
      </w:pPr>
      <w:r>
        <w:rPr>
          <w:rFonts w:ascii="Times New Roman" w:hAnsi="Times New Roman" w:cs="Times New Roman" w:eastAsia="Times New Roman"/>
          <w:b/>
          <w:i w:val="0"/>
          <w:sz w:val="24"/>
        </w:rPr>
        <w:t>Sezione quinta. Le reti della Guerra Fredda</w:t>
      </w:r>
    </w:p>
    <w:p>
      <w:pPr>
        <w:spacing w:line="276" w:lineRule="auto" w:before="0" w:after="120"/>
        <w:ind w:firstLine="425"/>
        <w:jc w:val="both"/>
      </w:pPr>
      <w:r>
        <w:rPr>
          <w:rFonts w:ascii="Times New Roman" w:hAnsi="Times New Roman" w:cs="Times New Roman" w:eastAsia="Times New Roman"/>
          <w:b w:val="0"/>
          <w:i w:val="0"/>
          <w:sz w:val="24"/>
        </w:rPr>
        <w:t xml:space="preserve">L'Aginter Press di Lisbona, struttura di copertura giornalistica per l'addestramento e il coordinamento controrivoluzionario dal millenovecentosessantasei al millenovecentosettantaquattro,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per convergenza di due fonti indipendenti del corpus. La rete Gladio, con la catena che muove dall'Accordo del millenovecentocinquantasei, l'ammissione parlamentare del ventiquattro ottobre millenovecentonovanta, i centotrentanove depositi e la risoluzione europea del ventidue novembre,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negli atti. Il Bund Deutscher Jugend con il suo Technischer Dienst — diciassettemila aderenti nominali e circa duemila armati, l'addestramento a Wamiba nell'Odenwald e a Grafenwöhr, le liste di proscrizione comprendenti esponenti socialdemocratici, la scoperta del settembre millenovecentocinquantadue, il rilascio disposto dalla Corte federale di Karlsruhe il trenta settembre e l'esfiltrazione di Otto in Canada —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La Decima Flottiglia riorganizzata sotto Gray e il Partito Comunista Indipendente di Orlando completano lo strato fondativo, ai livelli già indicati nei rispettivi nodi persona.</w:t>
      </w:r>
    </w:p>
    <w:p>
      <w:pPr>
        <w:spacing w:line="276" w:lineRule="auto" w:before="240" w:after="120"/>
        <w:ind w:firstLine="0"/>
        <w:jc w:val="both"/>
      </w:pPr>
      <w:r>
        <w:rPr>
          <w:rFonts w:ascii="Times New Roman" w:hAnsi="Times New Roman" w:cs="Times New Roman" w:eastAsia="Times New Roman"/>
          <w:b/>
          <w:i w:val="0"/>
          <w:sz w:val="24"/>
        </w:rPr>
        <w:t>Sezione sesta. La criminalità organizzata e il nodo di massima intermediazione</w:t>
      </w:r>
    </w:p>
    <w:p>
      <w:pPr>
        <w:spacing w:line="276" w:lineRule="auto" w:before="0" w:after="120"/>
        <w:ind w:firstLine="425"/>
        <w:jc w:val="both"/>
      </w:pPr>
      <w:r>
        <w:rPr>
          <w:rFonts w:ascii="Times New Roman" w:hAnsi="Times New Roman" w:cs="Times New Roman" w:eastAsia="Times New Roman"/>
          <w:b w:val="0"/>
          <w:i w:val="0"/>
          <w:sz w:val="24"/>
        </w:rPr>
        <w:t>Il censimento globale in sessantasette macro voci e il Libro Primo sull'Italia forniscono l'ossatura del Dominio primo: dalla saldatura fra Office of Strategic Services e mafia siciliana nel millenovecentoquarantatré, attraverso Luciano, la French Connection, il vertice dell'Hotel des Palmes dell'ottobre millenovecentocinquantasette e Apalachin, fino alla fotografia della Direzione Investigativa Antimafia del duemilaventiquattro e alla proiezione cibernetica segnalata dal Procuratore nazionale Melillo. Le confraternite nigeriane — Eiye, Black Axe, Vikings, con la Bibbia Verde quale corpus normativo — costituiscono la terza realizzazione dell'isomorfismo del Pattern undicesimo, documentata dalla Sezione quindicesima della Relazione Conclusiva.</w:t>
      </w:r>
    </w:p>
    <w:p>
      <w:pPr>
        <w:spacing w:line="276" w:lineRule="auto" w:before="0" w:after="120"/>
        <w:ind w:firstLine="425"/>
        <w:jc w:val="both"/>
      </w:pPr>
      <w:r>
        <w:rPr>
          <w:rFonts w:ascii="Times New Roman" w:hAnsi="Times New Roman" w:cs="Times New Roman" w:eastAsia="Times New Roman"/>
          <w:b w:val="0"/>
          <w:i w:val="0"/>
          <w:sz w:val="24"/>
        </w:rPr>
        <w:t xml:space="preserve">L'operazione Gotha di Reggio Calabria è il nodo organizzativo di massima intermediazione dell'intero corpus: cento occorrenze con confini di parola in cinque documenti indipendenti, fonte simultanea per il Dominio primo, per il Dominio secondo e per il Dominio quarto, con le proiezioni alpine delle logge Sub Rosa Dicta e Geenna. Il nodo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nella sostanza e la sua elevazione al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dipende dall'acquisizione degli atti, che resta la tredicesima lacuna e la priorità assoluta del progetto.</w:t>
      </w:r>
    </w:p>
    <w:p>
      <w:pPr>
        <w:spacing w:line="276" w:lineRule="auto" w:before="240" w:after="120"/>
        <w:ind w:firstLine="0"/>
        <w:jc w:val="both"/>
      </w:pPr>
      <w:r>
        <w:rPr>
          <w:rFonts w:ascii="Times New Roman" w:hAnsi="Times New Roman" w:cs="Times New Roman" w:eastAsia="Times New Roman"/>
          <w:b/>
          <w:i w:val="0"/>
          <w:sz w:val="24"/>
        </w:rPr>
        <w:t>Sezione settima. Il polo della cattura del Dominio ottavo</w:t>
      </w:r>
    </w:p>
    <w:p>
      <w:pPr>
        <w:spacing w:line="276" w:lineRule="auto" w:before="0" w:after="120"/>
        <w:ind w:firstLine="425"/>
        <w:jc w:val="both"/>
      </w:pPr>
      <w:r>
        <w:rPr>
          <w:rFonts w:ascii="Times New Roman" w:hAnsi="Times New Roman" w:cs="Times New Roman" w:eastAsia="Times New Roman"/>
          <w:b w:val="0"/>
          <w:i w:val="0"/>
          <w:sz w:val="24"/>
        </w:rPr>
        <w:t xml:space="preserve">La fondazione centroeuropea per la stampa e i media, costituita l'undici settembre duemiladiciotto per conferimento gratuito e coordinante fra le quattrocentosettanta e le cinquecento testate con l'ottanta per cento del mercato informativo a fine duemiladiciotto, esente dal controllo antitrust per decreto di importanza strategica nazionale convalidato dal Tribunale di Budapest nel gennaio duemilaventi e dalla Corte Costituzionale il venticinque giugno del medesimo anno, con ricavi da pubblicità istituzionale prossimi al novanta per cento presso diverse testate secondo l'osservatorio Mérték sul duemilaventi, è il polo puro della cattura del Dominio ottavo e il caso fondativo del sesto tipo di arco. Il nucleo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periferia del documento acquisito, contenente almeno un dominio inventato e due omissioni su diciannove nella lista dei portali provinciali, è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e inutilizzabile. La contrazione dell'apparato entro due mesi dalle elezioni del dodici aprile duemilaventisei — centoquarantuno seggi su centonovantanove al partito Tisza — con la conversione a settimanale del quotidiano nazionale e di dodici testate di contea dal primo agosto, costituisce il test naturale che colloca la solidità della cattura nel flusso di denaro pubblico anziché nella proprietà: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l'esito,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il nesso causale.</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TERZA — NODI NORMATIVI, GIUDIZIARI E DOCUMENTALI</w:t>
      </w:r>
    </w:p>
    <w:p>
      <w:pPr>
        <w:spacing w:line="276" w:lineRule="auto" w:before="0" w:after="120"/>
        <w:ind w:firstLine="425"/>
        <w:jc w:val="both"/>
      </w:pPr>
      <w:r>
        <w:rPr>
          <w:rFonts w:ascii="Times New Roman" w:hAnsi="Times New Roman" w:cs="Times New Roman" w:eastAsia="Times New Roman"/>
          <w:b w:val="0"/>
          <w:i w:val="0"/>
          <w:sz w:val="24"/>
        </w:rPr>
        <w:t xml:space="preserve">La catena giuridica del primo cerchio è integralmente ricostruita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il Trattato di Pace firmato a Parigi il dieci febbraio millenovecentoquarantasette, in vigore dal sedici settembre e promulgato con decreto legislativo millequattrocentotrenta, novanta articoli e diciassette allegati, con l'articolo ventuno istitutivo del Territorio Libero di Trieste e gli Allegati sesto e settimo; il Trattato Nord Atlantico del quattro aprile millenovecentoquarantanove approvato con legge quattrocentosessantacinque; l'Accordo coperto del millenovecentocinquantasei; la legge ottocentouno del millenovecentosettantasette; la legge diciassette del millenovecentottantadue, sulla quale convergono l'applicazione di Cordova e la dichiarazione di Di Bernardo; le ammissioni e la risoluzione del millenovecentonovanta.</w:t>
      </w:r>
    </w:p>
    <w:p>
      <w:pPr>
        <w:spacing w:line="276" w:lineRule="auto" w:before="0" w:after="120"/>
        <w:ind w:firstLine="425"/>
        <w:jc w:val="both"/>
      </w:pPr>
      <w:r>
        <w:rPr>
          <w:rFonts w:ascii="Times New Roman" w:hAnsi="Times New Roman" w:cs="Times New Roman" w:eastAsia="Times New Roman"/>
          <w:b w:val="0"/>
          <w:i w:val="0"/>
          <w:sz w:val="24"/>
        </w:rPr>
        <w:t xml:space="preserve">Le fonti primarie giudiziarie e di intelligence acquisite nella sessione sono cinque: la sentenza trecentodue del millenovecentottantasette del Tribunale di Agrigento; la rogatoria milanese con l'interrogatorio Dulles; e la serie del Central Intelligence Group e della Central Intelligence Agency composta dal rapporto del ventidue dicembre millenovecentoquarantasei, dal rapporto confidenziale del quattordici marzo millenovecentoquarantasette sui negoziati fra Uomo Qualunque e Movimento Sociale, dal rapporto segreto del venti marzo millenovecentoquarantasette su Turati e dal rapporto segreto del quattordici novembre millenovecentocinquantuno su Borghese. Ciascuna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all'esistenza e alla data, con il contenuto graduato secondo la natura della fonte.</w:t>
      </w:r>
    </w:p>
    <w:p>
      <w:pPr>
        <w:spacing w:line="276" w:lineRule="auto" w:before="0" w:after="120"/>
        <w:ind w:firstLine="425"/>
        <w:jc w:val="both"/>
      </w:pPr>
      <w:r>
        <w:rPr>
          <w:rFonts w:ascii="Times New Roman" w:hAnsi="Times New Roman" w:cs="Times New Roman" w:eastAsia="Times New Roman"/>
          <w:b w:val="0"/>
          <w:i w:val="0"/>
          <w:sz w:val="24"/>
        </w:rPr>
        <w:t xml:space="preserve">Le serie parlamentari acquisite comprendono: il processo verbale della novantanovesima seduta della Commissione stragi del ventiquattro gennaio millenovecentonovantadue con i trentadue emendamenti Casini; le relazioni Messina e Basilicata approvate il quindici gennaio; la declassificazione dell'undicesima legislatura in undici Tomi; la Relazione Conclusiva della diciottesima nei Tomi terzo e quarto; i cinque Tomi dei sopralluoghi con ventisei missioni; i tre Tomi su Livatino; e la serie SR01 del Gruppo di lavoro sul caso Moro presieduto dal senatore Macis, dodici documenti per seicentoventuno pagine dall'ottobre millenovecentonovantuno al febbraio millenovecentonovantadue, con Gian Carlo Caselli consulente, mancante dei documenti settimo, nono e decimo. I documenti in raccolta aperta della Central Intelligence Agency — il Covert Action Information Bulletin numero ventisei dell'estate millenovecentottantasei e la serie di Robert Moss sul New York Post dell'ottobre millenovecentottantacinque — valgono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 fatto dell'archiviazione e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quanto al contenuto.</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QUARTA — CATALOGO DEI NODI EVENTO</w:t>
      </w:r>
    </w:p>
    <w:p>
      <w:pPr>
        <w:spacing w:line="276" w:lineRule="auto" w:before="0" w:after="120"/>
        <w:ind w:firstLine="425"/>
        <w:jc w:val="both"/>
      </w:pPr>
      <w:r>
        <w:rPr>
          <w:rFonts w:ascii="Times New Roman" w:hAnsi="Times New Roman" w:cs="Times New Roman" w:eastAsia="Times New Roman"/>
          <w:b w:val="0"/>
          <w:i w:val="0"/>
          <w:sz w:val="24"/>
        </w:rPr>
        <w:t xml:space="preserve">La finestra critica del gennaio millenovecentonovantadue concentra in nove giorni l'approvazione simultanea delle relazioni Messina e Basilicata sotto la presidenza Chiaromonte il quindici, le comunicazioni istituzionali del diciassette e del ventitré, la novantanovesima seduta della Commissione stragi il ventiquattro con l'ordine del giorno Lipari e la deliberazione dell'accesso a Parma, e l'incontro al Viminale del ventotto. Quattro mesi prima di Capaci, la spiegazione documentata è la chiusura della decima legislatura: la densità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ogni lettura ulteriore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I trentadue emendamenti presentati dall'onorevole Casini alla relazione sul terrorismo, censiti integralmente dal verbale della novantanovesima seduta, realizzano il Pattern quindicesimo in forma misurabile: direzione sistematicamente attenuativa, con l'undicesimo che aggiunge la banda armata dell'articolo settantotto, il quattordicesimo che elimina la qualificazione presunta riferita alla struttura atlantica, il ventesimo che conserva i poteri piduisti, il trentaduesimo che afferma l'estraneità della rete Gladio alle stragi. La convergenza di quest'ultimo con la ricostruzione di Ruggiero costituisce il terzo falsificante: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quanto alla sostenibilità,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quanto alla sostanza.</w:t>
      </w:r>
    </w:p>
    <w:p>
      <w:pPr>
        <w:spacing w:line="276" w:lineRule="auto" w:before="0" w:after="120"/>
        <w:ind w:firstLine="425"/>
        <w:jc w:val="both"/>
      </w:pPr>
      <w:r>
        <w:rPr>
          <w:rFonts w:ascii="Times New Roman" w:hAnsi="Times New Roman" w:cs="Times New Roman" w:eastAsia="Times New Roman"/>
          <w:b w:val="0"/>
          <w:i w:val="0"/>
          <w:sz w:val="24"/>
        </w:rPr>
        <w:t xml:space="preserve">La previsione derivata dalla relazione lucana del millenovecentonovantadue — che l'insediamento industriale di Scanzano Jonico costituisse bersaglio di infiltrazione — trova verifica nello scioglimento di quel consiglio comunale documentato dalla serie dei sopralluoghi: predizione falsificabile formulata da atto parlamentare e verificata da provvedimento amministrativo,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in entrambi i termini.</w:t>
      </w:r>
    </w:p>
    <w:p>
      <w:pPr>
        <w:spacing w:line="276" w:lineRule="auto" w:before="0" w:after="120"/>
        <w:ind w:firstLine="425"/>
        <w:jc w:val="both"/>
      </w:pPr>
      <w:r>
        <w:rPr>
          <w:rFonts w:ascii="Times New Roman" w:hAnsi="Times New Roman" w:cs="Times New Roman" w:eastAsia="Times New Roman"/>
          <w:b w:val="0"/>
          <w:i w:val="0"/>
          <w:sz w:val="24"/>
        </w:rPr>
        <w:t>Il test statistico sulla coincidenza fra la seduta napoletana della Commissione Violante e la strage di via dei Georgofili del ventisette maggio millenovecentonovantatré è stato eseguito due volte, con censimento delle giornate di missione salito da trentacinque a quaranta e probabilità di occorrenza casuale salita da zero virgola centottantatré a zero virgola duecentosette contro una soglia di cinque centesimi: la coincidenza è respinta, la formula sulla simultaneità è espunta, e l'esito — il primo rigetto prodotto dal Pattern terzo nella storia del progetto — è iscritto quale dimostrazione del funzionamento del metodo.</w:t>
      </w:r>
    </w:p>
    <w:p>
      <w:pPr>
        <w:spacing w:line="276" w:lineRule="auto" w:before="0" w:after="120"/>
        <w:ind w:firstLine="425"/>
        <w:jc w:val="both"/>
      </w:pPr>
      <w:r>
        <w:rPr>
          <w:rFonts w:ascii="Times New Roman" w:hAnsi="Times New Roman" w:cs="Times New Roman" w:eastAsia="Times New Roman"/>
          <w:b w:val="0"/>
          <w:i w:val="0"/>
          <w:sz w:val="24"/>
        </w:rPr>
        <w:t xml:space="preserve">Le missioni internazionali della Commissione Violante — Parigi il venti gennaio millenovecentonovantatré con l'incontro speculare della delegazione francese a Roma il diciassette dicembre precedente, e Bonn e Düsseldorf il ventotto e ventinove settembre sulla presenza della 'Ndrangheta in Renania — attestano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proiezione tedesca del Dominio primo trent'anni prima della missione di Bolzano. Il Consiglio comunale aperto di Bovalino del tredici settembre, in seduta congiunta con la Commissione nel cuore della Locride, è il formato senza precedenti in cui il Dominio decimo si espone fisicamente sul territorio del Dominio primo.</w:t>
      </w:r>
    </w:p>
    <w:p>
      <w:pPr>
        <w:spacing w:line="276" w:lineRule="auto" w:before="0" w:after="120"/>
        <w:ind w:firstLine="425"/>
        <w:jc w:val="both"/>
      </w:pPr>
      <w:r>
        <w:rPr>
          <w:rFonts w:ascii="Times New Roman" w:hAnsi="Times New Roman" w:cs="Times New Roman" w:eastAsia="Times New Roman"/>
          <w:b w:val="0"/>
          <w:i w:val="0"/>
          <w:sz w:val="24"/>
        </w:rPr>
        <w:t xml:space="preserve">La beatificazione di Rosario Livatino del nove maggio duemilaventuno realizza l'arco fra Dominio decimo e Dominio quinto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le elezioni ungheresi del dodici aprile duemilaventisei e la contrazione dell'apparato mediatico entro il primo agosto costituiscono il test naturale già iscritto al nodo organizzativo. Gli scioglimenti dei consigli comunali per infiltrazione — Gioia Tauro per tre volte fra il millenovecentonovantacinque e il duemila, Piraino, Lamezia nel settembre millenovecentonovantuno, Caivano, Scanzano, Arzano, Sant'Antimo, Marano — sono promossi a metrica strutturale del Pattern terzo in quanto provvedimenti amministrativi formali e datati.</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QUINTA — NODI GEOGRAFICI E ZONE DI CONVERGENZA</w:t>
      </w:r>
    </w:p>
    <w:p>
      <w:pPr>
        <w:spacing w:line="276" w:lineRule="auto" w:before="0" w:after="120"/>
        <w:ind w:firstLine="425"/>
        <w:jc w:val="both"/>
      </w:pPr>
      <w:r>
        <w:rPr>
          <w:rFonts w:ascii="Times New Roman" w:hAnsi="Times New Roman" w:cs="Times New Roman" w:eastAsia="Times New Roman"/>
          <w:b w:val="0"/>
          <w:i w:val="0"/>
          <w:sz w:val="24"/>
        </w:rPr>
        <w:t xml:space="preserve">Trieste è la zona di massima stratificazione del corpus: sette documenti e centoventuno occorrenze con confini di parola. Vi si sovrappongono lo strato giuridico del millenovecentoquarantasette con l'articolo ventuno e gli Allegati del Trattato, lo strato politico contemporaneo dell'Osservatorio Libero e del protocollo di Sukhumi, e lo strato criminale documentato dalla missione antimafia dell'undici e dodici novembre duemilaventuno con le audizioni del prefetto Vardè, del questore De Nicolo e del dirigente della Direzione investigativa Moroso sul porto quale varco del transito. La compresenza è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ogni connessione fra gli strati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per il secondo vincolo, e la zona è designata priorità investigativa in ragione della realizzazione dell'arco di Riemersione Carsica, per il quale il richiamo del duemilaventiquattro allo statuto del millenovecentoquarantasette è documentale e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before="0" w:after="120"/>
        <w:ind w:firstLine="425"/>
        <w:jc w:val="both"/>
      </w:pPr>
      <w:r>
        <w:rPr>
          <w:rFonts w:ascii="Times New Roman" w:hAnsi="Times New Roman" w:cs="Times New Roman" w:eastAsia="Times New Roman"/>
          <w:b w:val="0"/>
          <w:i w:val="0"/>
          <w:sz w:val="24"/>
        </w:rPr>
        <w:t xml:space="preserve">Barcellona Pozzo di Gotto è la seconda zona: cinque documenti, dalla relazione del millenovecentonovantadue sulla faida dei chiofoliani, all'istruttoria che indica Rosario Cattafi quale capo loggia, al caso di Attilio Manca morto a Viterbo l'undici febbraio duemilaquattro con l'ipotesi di collegamento alla latitanza di Provenzano che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fino alla relazione della Commissione Violante del ventitré gennaio millenovecentonovantatré. L'asse calabrese Lamezia Reggio, ove insistono la costituzione della IACRAI, il Cantiere Laboratorio e l'istruttoria Gotha, è compresenza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con connessione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Gioia Tauro, hub del narcotraffico europeo e comune sciolto tre volte, si salda alla base atlantica di Isola Capo Rizzuto attraverso la documentazione sulle tangenti della centrale, dell'autostrada e della base: l'arco fra Dominio nono e Dominio primo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e la sua elevazione dipende dalla decima lacuna.</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SESTA — TASSONOMIA DEGLI ARCHI INTER DOMINIO</w:t>
      </w:r>
    </w:p>
    <w:p>
      <w:pPr>
        <w:spacing w:line="276" w:lineRule="auto" w:before="0" w:after="120"/>
        <w:ind w:firstLine="425"/>
        <w:jc w:val="both"/>
      </w:pPr>
      <w:r>
        <w:rPr>
          <w:rFonts w:ascii="Times New Roman" w:hAnsi="Times New Roman" w:cs="Times New Roman" w:eastAsia="Times New Roman"/>
          <w:b w:val="0"/>
          <w:i w:val="0"/>
          <w:sz w:val="24"/>
        </w:rPr>
        <w:t>La tassonomia conta sei tipi: la collusione, la strumentalizzazione, l'infiltrazione, la convergenza, il transito e la cattura normativa, quest'ultima introdotta nella presente sessione e definita quale conseguimento del controllo di un dominio mediante la modificazione formale delle norme che lo regolano con successiva convalida degli organi di garanzia — arco pubblico anziché occulto, documentabile per atti anziché per indizi, la cui durata coincide con quella della maggioranza che lo ha prodotto.</w:t>
      </w:r>
    </w:p>
    <w:p>
      <w:pPr>
        <w:spacing w:line="276" w:lineRule="auto" w:before="0" w:after="120"/>
        <w:ind w:firstLine="425"/>
        <w:jc w:val="both"/>
      </w:pPr>
      <w:r>
        <w:rPr>
          <w:rFonts w:ascii="Times New Roman" w:hAnsi="Times New Roman" w:cs="Times New Roman" w:eastAsia="Times New Roman"/>
          <w:b w:val="0"/>
          <w:i w:val="0"/>
          <w:sz w:val="24"/>
        </w:rPr>
        <w:t xml:space="preserve">Gli archi speciali documentati sono la Riemersione Carsica, per la quale un dispositivo giuridico quiescente viene riattivato a distanza di decenni quale fondamento di legittimazione — il caso triestino dal millenovecentoquarantasette al duemilaventiquattro,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 richiamo documentale — e l'Ospitalità e Santuario, per la quale un dominio offre protezione fisica a un attore di altro dominio: il caso Turati in Vaticano, sostenuto da fonte primaria del millenovecentoquarantasette,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 rapporto e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quanto alla sostanza.</w:t>
      </w:r>
    </w:p>
    <w:p>
      <w:pPr>
        <w:spacing w:line="276" w:lineRule="auto" w:before="0" w:after="120"/>
        <w:ind w:firstLine="425"/>
        <w:jc w:val="both"/>
      </w:pPr>
      <w:r>
        <w:rPr>
          <w:rFonts w:ascii="Times New Roman" w:hAnsi="Times New Roman" w:cs="Times New Roman" w:eastAsia="Times New Roman"/>
          <w:b w:val="0"/>
          <w:i w:val="0"/>
          <w:sz w:val="24"/>
        </w:rPr>
        <w:t xml:space="preserve">Gli archi principali del corpus, con la rispettiva classificazione, sono: l'arco editoriale politico del nodo Vestuto fra Dominio ottavo e Dominio secondo,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con prolungamento verso il Dominio primo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l'arco Gotha fra Dominio primo, secondo e quarto,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l'arco della base di Isola Capo Rizzuto fra Dominio nono e Dominio primo,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l'arco della beatificazione fra Dominio decimo e Dominio quinto,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il corridoio del Pattern settimo dal Dominio decimo verso il secondo e il terzo,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nei fatti e legittimo nella natura; la catena longitudinale del Dominio quarto sul Dominio primo,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nella persistenza e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nella sostanza.</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SETTIMA — PATTERN APPLICATI E RISULTATI</w:t>
      </w:r>
    </w:p>
    <w:p>
      <w:pPr>
        <w:spacing w:line="276" w:lineRule="auto" w:before="0" w:after="120"/>
        <w:ind w:firstLine="425"/>
        <w:jc w:val="both"/>
      </w:pPr>
      <w:r>
        <w:rPr>
          <w:rFonts w:ascii="Times New Roman" w:hAnsi="Times New Roman" w:cs="Times New Roman" w:eastAsia="Times New Roman"/>
          <w:b w:val="0"/>
          <w:i w:val="0"/>
          <w:sz w:val="24"/>
        </w:rPr>
        <w:t>Il Pattern terzo, sull'analisi temporale, ha prodotto il primo esito negativo della storia del progetto con il rigetto della coincidenza dei Georgofili, confermato al ricalcolo; ha acquisito quale metrica strutturale la serie degli scioglimenti comunali; e ha registrato la finestra del gennaio millenovecentonovantadue quale densità documentata con spiegazione ordinaria.</w:t>
      </w:r>
    </w:p>
    <w:p>
      <w:pPr>
        <w:spacing w:line="276" w:lineRule="auto" w:before="0" w:after="120"/>
        <w:ind w:firstLine="425"/>
        <w:jc w:val="both"/>
      </w:pPr>
      <w:r>
        <w:rPr>
          <w:rFonts w:ascii="Times New Roman" w:hAnsi="Times New Roman" w:cs="Times New Roman" w:eastAsia="Times New Roman"/>
          <w:b w:val="0"/>
          <w:i w:val="0"/>
          <w:sz w:val="24"/>
        </w:rPr>
        <w:t>Il Pattern settimo, sulle traiettorie di carriera, ha documentato il corridoio dal Dominio decimo verso il secondo e il terzo su quattro casi, e ha promulgato la delimitazione che esclude dalla qualificazione di arco le rotazioni ordinarie del personale apicale, accertate sui casi Mariani e Mangia.</w:t>
      </w:r>
    </w:p>
    <w:p>
      <w:pPr>
        <w:spacing w:line="276" w:lineRule="auto" w:before="0" w:after="120"/>
        <w:ind w:firstLine="425"/>
        <w:jc w:val="both"/>
      </w:pPr>
      <w:r>
        <w:rPr>
          <w:rFonts w:ascii="Times New Roman" w:hAnsi="Times New Roman" w:cs="Times New Roman" w:eastAsia="Times New Roman"/>
          <w:b w:val="0"/>
          <w:i w:val="0"/>
          <w:sz w:val="24"/>
        </w:rPr>
        <w:t>Il Pattern decimo, sulla convergenza spaziale, ha consolidato Trieste e Barcellona Pozzo di Gotto quali zone a massima stratificazione, con la disciplina che tiene distinta la compresenza dalla connessione.</w:t>
      </w:r>
    </w:p>
    <w:p>
      <w:pPr>
        <w:spacing w:line="276" w:lineRule="auto" w:before="0" w:after="120"/>
        <w:ind w:firstLine="425"/>
        <w:jc w:val="both"/>
      </w:pPr>
      <w:r>
        <w:rPr>
          <w:rFonts w:ascii="Times New Roman" w:hAnsi="Times New Roman" w:cs="Times New Roman" w:eastAsia="Times New Roman"/>
          <w:b w:val="0"/>
          <w:i w:val="0"/>
          <w:sz w:val="24"/>
        </w:rPr>
        <w:t xml:space="preserve">Il Pattern undicesimo, sull'isomorfismo, conta tre realizzazioni — la loggia coperta, l'istruttoria Gotha, le confraternite nigeriane — e la variante a committenza invertita fra l'apparato statunitense degli anni Cinquanta e l'apparato russo del periodo duemilatredici duemilaventisei: una medesima topologia a nucleo esterno ristretto che irradia verso soggetti periferici sotto copertura formale legittima, la cui spiegazione più sostenibile è la necessità funzionale anziché l'origine comune,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È l'unica formulazione della macro ipotesi difendibile allo stato degli atti.</w:t>
      </w:r>
    </w:p>
    <w:p>
      <w:pPr>
        <w:spacing w:line="276" w:lineRule="auto" w:before="0" w:after="120"/>
        <w:ind w:firstLine="425"/>
        <w:jc w:val="both"/>
      </w:pPr>
      <w:r>
        <w:rPr>
          <w:rFonts w:ascii="Times New Roman" w:hAnsi="Times New Roman" w:cs="Times New Roman" w:eastAsia="Times New Roman"/>
          <w:b w:val="0"/>
          <w:i w:val="0"/>
          <w:sz w:val="24"/>
        </w:rPr>
        <w:t>Il Pattern quindicesimo, sulle parole sentinella, è stato misurato per la prima volta su un corpus chiuso di trentadue emendamenti con direzione univoca. Si registra infine che la Sezione sesta del Tomo terzo della Relazione Conclusiva applica la Social Network Analysis alle reti pugliesi: il riscontro è istituzionale e conferma la scelta metodologica dell'opera, non un suo risultato di merito.</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OTTAVA — FALSIFICANTI, VINCOLI PERMANENTI E REGOLE DI PROCEDURA</w:t>
      </w:r>
    </w:p>
    <w:p>
      <w:pPr>
        <w:spacing w:line="276" w:lineRule="auto" w:before="0" w:after="120"/>
        <w:ind w:firstLine="425"/>
        <w:jc w:val="both"/>
      </w:pPr>
      <w:r>
        <w:rPr>
          <w:rFonts w:ascii="Times New Roman" w:hAnsi="Times New Roman" w:cs="Times New Roman" w:eastAsia="Times New Roman"/>
          <w:b w:val="0"/>
          <w:i w:val="0"/>
          <w:sz w:val="24"/>
        </w:rPr>
        <w:t>I falsificanti iscritti sono tre, oltre al rigetto statistico. Il primo è l'assenza documentata di connessioni fra la rete Shor e le organizzazioni criminali italiane, con preferenza accertata per la criminalità dei colletti bianchi. Il secondo è la penetrazione sovietica al vertice dell'apparato atlantico — Felfe, Clemens, Tiebel, Hofer, Guillaume — che spiega la convergenza degli effetti senza postulare accordo. Il terzo è l'affermazione parlamentare di estraneità della rete Gladio alle stragi, convergente con la ricostruzione memorialistica indipendente. A essi si aggiunge il rigetto della coincidenza dei Georgofili quale esito di metodo.</w:t>
      </w:r>
    </w:p>
    <w:p>
      <w:pPr>
        <w:spacing w:line="276" w:lineRule="auto" w:before="0" w:after="120"/>
        <w:ind w:firstLine="425"/>
        <w:jc w:val="both"/>
      </w:pPr>
      <w:r>
        <w:rPr>
          <w:rFonts w:ascii="Times New Roman" w:hAnsi="Times New Roman" w:cs="Times New Roman" w:eastAsia="Times New Roman"/>
          <w:b w:val="0"/>
          <w:i w:val="0"/>
          <w:sz w:val="24"/>
        </w:rPr>
        <w:t>I vincoli permanenti contro i falsi positivi sono quattro: lessicale sul termine eurasiatico, geografico sul corridoio del Brennero, cronologico sull'Emilia-Romagna, statale sull'Ungheria. Le regole di procedura sono quattro: la corrispondenza per confini di parola in ogni misurazione; il controllo di provenienza con esclusione della produzione conversazionale non attribuita da ogni livello probatorio; il controllo automatico post generazione dei marcatori e dei frontespizi; la verifica per contesto nelle collisioni onomastiche.</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PARTE NONA — TAVOLA DELLE LACUNE ALLA CHIUSURA DELLA SESSIONE</w:t>
      </w:r>
    </w:p>
    <w:p>
      <w:pPr>
        <w:spacing w:line="276" w:lineRule="auto" w:before="0" w:after="120"/>
        <w:ind w:firstLine="425"/>
        <w:jc w:val="both"/>
      </w:pPr>
      <w:r>
        <w:rPr>
          <w:rFonts w:ascii="Times New Roman" w:hAnsi="Times New Roman" w:cs="Times New Roman" w:eastAsia="Times New Roman"/>
          <w:b w:val="0"/>
          <w:i w:val="0"/>
          <w:sz w:val="24"/>
        </w:rPr>
        <w:t>Le lacune dichiarate sono diciotto, ordinate per solvibilità. Ad alta solvibilità: gli atti dell'operazione Gotha, priorità assoluta; la documentazione sulle tangenti per la centrale, l'autostrada e la base di Isola Capo Rizzuto; i lavori preparatori della legge diciassette del millenovecentottantadue; i Tomi quarto e decimo della declassificazione; i verbali dell'incontro con Vinciguerra a Parma. A media solvibilità: i resoconti integrali della missione di Bonn e Düsseldorf; l'archivio della settima Divisione con le relazioni su Sassari, Porto Torres, Cervignano e il Corriere della Sera; la verifica dell'identità Salatino; gli atti sulla morte di Ungari; l'apparato di fonti del documento ungherese; la correzione dell'indirizzo parigino verso Quai de la Tournelle ventisette; e i documenti settimo, nono e decimo della serie SR01, la cui mancanza è la diciottesima lacuna aperta nella presente sessione. A bassa solvibilità: il rapporto fra Falcone e la Procura di Mosca; il residuo della seconda lacuna, ridotta dalla rogatoria Dulles e dalla serie del Central Intelligence Group ma non chiusa quanto alla documentazione operativa; il segmento Hyperion; il raccordo sudafricano; il vettore cinese; e l'integrazione filologica del corpus epistolare moroteo secondo il criterio che distingue le lettere consegnate dalle bozze.</w:t>
      </w:r>
    </w:p>
    <w:p>
      <w:pPr>
        <w:spacing w:line="276" w:lineRule="auto" w:before="0" w:after="160"/>
        <w:ind w:firstLine="0"/>
        <w:jc w:val="center"/>
      </w:pPr>
      <w:r>
        <w:rPr>
          <w:rFonts w:ascii="Times New Roman" w:hAnsi="Times New Roman" w:cs="Times New Roman" w:eastAsia="Times New Roman"/>
          <w:b/>
          <w:i w:val="0"/>
          <w:sz w:val="28"/>
        </w:rPr>
        <w:t>PARTE DECIMA — STATUTO DELLA MACRO IPOTESI</w:t>
      </w:r>
    </w:p>
    <w:p>
      <w:pPr>
        <w:spacing w:line="276" w:lineRule="auto" w:before="0" w:after="120"/>
        <w:ind w:firstLine="425"/>
        <w:jc w:val="both"/>
      </w:pPr>
      <w:r>
        <w:rPr>
          <w:rFonts w:ascii="Times New Roman" w:hAnsi="Times New Roman" w:cs="Times New Roman" w:eastAsia="Times New Roman"/>
          <w:b w:val="0"/>
          <w:i w:val="0"/>
          <w:sz w:val="24"/>
        </w:rPr>
        <w:t xml:space="preserve">La macro ipotesi resta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indebolita e non rafforzata dalla sessione. Delle quattro formulazioni concorrenti, quella forte è contraddetta dalla distanza temporale e dall'assenza di attori condivisi; la lettura di Milward resta il falsificatore permanente non contraddetto da alcun documento; la penetrazione unilaterale è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la convergenza emergente è l'unica formulazione debole sostenuta. L'isomorfismo a committenza invertita, di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è la sola tesi difendibile, e le condizioni di falsificazione restano quelle dichiarate nell'edizione integrale del Registro Unico.</w:t>
      </w:r>
    </w:p>
    <w:p>
      <w:pPr>
        <w:ind w:firstLine="0"/>
      </w:pPr>
      <w:r>
        <w:rPr>
          <w:rFonts w:ascii="Times New Roman" w:hAnsi="Times New Roman" w:cs="Times New Roman" w:eastAsia="Times New Roman"/>
          <w:b w:val="0"/>
          <w:i w:val="0"/>
          <w:sz w:val="24"/>
        </w:rPr>
        <w:br w:type="page"/>
      </w:r>
    </w:p>
    <w:p>
      <w:pPr>
        <w:spacing w:line="276" w:lineRule="auto" w:before="0" w:after="160"/>
        <w:ind w:firstLine="0"/>
        <w:jc w:val="center"/>
      </w:pPr>
      <w:r>
        <w:rPr>
          <w:rFonts w:ascii="Times New Roman" w:hAnsi="Times New Roman" w:cs="Times New Roman" w:eastAsia="Times New Roman"/>
          <w:b/>
          <w:i w:val="0"/>
          <w:sz w:val="28"/>
        </w:rPr>
        <w:t>CHIUSURA DEL REGISTRO</w:t>
      </w:r>
    </w:p>
    <w:p>
      <w:pPr>
        <w:spacing w:line="276" w:lineRule="auto" w:before="0" w:after="120"/>
        <w:ind w:firstLine="425"/>
        <w:jc w:val="both"/>
      </w:pPr>
      <w:r>
        <w:rPr>
          <w:rFonts w:ascii="Times New Roman" w:hAnsi="Times New Roman" w:cs="Times New Roman" w:eastAsia="Times New Roman"/>
          <w:b w:val="0"/>
          <w:i w:val="0"/>
          <w:sz w:val="24"/>
        </w:rPr>
        <w:t>Il presente Registro Analitico dei Nodi consolida in dieci parti il corpus della sessione del due agosto duemilaventisei: il catalogo dei nodi persona in tre strati, il catalogo dei nodi organizzazione, i nodi normativi e documentali, i nodi evento, le zone di convergenza, la tassonomia degli archi estesa al sesto tipo, i pattern con i rispettivi risultati compreso il primo rigetto statistico, i falsificanti con i vincoli e le regole, la tavola delle diciotto lacune e lo statuto della macro ipotesi.</w:t>
      </w:r>
    </w:p>
    <w:p>
      <w:pPr>
        <w:spacing w:line="276" w:lineRule="auto" w:before="0" w:after="120"/>
        <w:ind w:firstLine="425"/>
        <w:jc w:val="both"/>
      </w:pPr>
      <w:r>
        <w:rPr>
          <w:rFonts w:ascii="Times New Roman" w:hAnsi="Times New Roman" w:cs="Times New Roman" w:eastAsia="Times New Roman"/>
          <w:b w:val="0"/>
          <w:i w:val="0"/>
          <w:sz w:val="24"/>
        </w:rPr>
        <w:t>La sessione consegna al progetto tre acquisizioni di rango eccezionale — la fonte primaria statunitense del millenovecentoquarantasei divenuta documento più antico del perimetro, la rogatoria milanese con l'interrogatorio del Direttore della Central Intelligence Agency, la sentenza agrigentina del millenovecentottantasette sul nodo Livatino — e quattro strumenti di metodo nati da errori commessi e intercettati: i confini di parola, il controllo di provenienza, i controlli post generazione, la disciplina delle collisioni onomastiche. Il Registro resta strumento in continua evoluzione e non opera conclusa: la sua prossima compilazione muoverà dalle lacune ad alta solvibilità, nella consapevolezza che il valore dell'apparato si misura su ciò che esso toglie non meno che su ciò che aggiunge.</w:t>
      </w:r>
    </w:p>
    <w:p>
      <w:pPr>
        <w:spacing w:line="276" w:lineRule="auto" w:before="0" w:after="0"/>
        <w:ind w:firstLine="425"/>
        <w:jc w:val="both"/>
      </w:pPr>
      <w:r>
        <w:rPr>
          <w:rFonts w:ascii="Times New Roman" w:hAnsi="Times New Roman" w:cs="Times New Roman" w:eastAsia="Times New Roman"/>
          <w:b w:val="0"/>
          <w:i w:val="0"/>
          <w:sz w:val="24"/>
        </w:rPr>
        <w:t>*Luigi De Michele — Registro Analitico dei Nodi, sessione del due agosto duemilaventisei — versione prima.*</w:t>
      </w:r>
    </w:p>
    <w:sectPr w:rsidR="00FC693F" w:rsidRPr="0006063C" w:rsidSect="00034616">
      <w:pgSz w:w="19" w:h="27"/>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425"/>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