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OPERA ALDO MORO — TUTTA LA VERITÀ</w:t>
      </w:r>
    </w:p>
    <w:p>
      <w:pPr>
        <w:jc w:val="center"/>
      </w:pPr>
      <w:r>
        <w:rPr>
          <w:i/>
          <w:sz w:val="26"/>
        </w:rPr>
        <w:t>Triangolazione documentale integrale — Stato della ricerca e matrice probatoria</w:t>
      </w:r>
    </w:p>
    <w:p>
      <w:pPr>
        <w:jc w:val="center"/>
      </w:pPr>
      <w:r>
        <w:rPr>
          <w:b/>
        </w:rPr>
        <w:t>Documento di lavoro — versione consolidata delle fasi di triangolazione</w:t>
      </w:r>
      <w:r>
        <w:br/>
        <w:t>22 agosto 2026</w:t>
      </w:r>
    </w:p>
    <w:p/>
    <w:p>
      <w:pPr>
        <w:pStyle w:val="Heading1"/>
      </w:pPr>
      <w:r>
        <w:t>Nota metodologica</w:t>
      </w:r>
    </w:p>
    <w:p>
      <w:r>
        <w:t>Questo documento consolida la triangolazione sviluppata nel lavoro precedente. La regola di fondo è: dove la fonte documenta, l’Opera certifica; dove la fonte tace, l’Opera indaga e non afferma. Le lacune archivistiche, le lacune di lettura, le discontinuità documentali e le inferenze causali vengono mantenute distinte.</w:t>
      </w:r>
    </w:p>
    <w:p>
      <w:pPr>
        <w:pStyle w:val="Heading1"/>
      </w:pPr>
      <w:r>
        <w:t>1. Principi della triangolazione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Principio</w:t>
            </w:r>
          </w:p>
        </w:tc>
        <w:tc>
          <w:tcPr>
            <w:tcW w:type="dxa" w:w="4759"/>
          </w:tcPr>
          <w:p>
            <w:r>
              <w:t>Regola</w:t>
            </w:r>
          </w:p>
        </w:tc>
      </w:tr>
      <w:tr>
        <w:tc>
          <w:tcPr>
            <w:tcW w:type="dxa" w:w="4759"/>
          </w:tcPr>
          <w:p>
            <w:r>
              <w:t>Genealogia delle fonti</w:t>
            </w:r>
          </w:p>
        </w:tc>
        <w:tc>
          <w:tcPr>
            <w:tcW w:type="dxa" w:w="4759"/>
          </w:tcPr>
          <w:p>
            <w:r>
              <w:t>La quantità di riferimenti non equivale al numero di catene probatorie indipendenti.</w:t>
            </w:r>
          </w:p>
        </w:tc>
      </w:tr>
      <w:tr>
        <w:tc>
          <w:tcPr>
            <w:tcW w:type="dxa" w:w="4759"/>
          </w:tcPr>
          <w:p>
            <w:r>
              <w:t>Fonte derivata</w:t>
            </w:r>
          </w:p>
        </w:tc>
        <w:tc>
          <w:tcPr>
            <w:tcW w:type="dxa" w:w="4759"/>
          </w:tcPr>
          <w:p>
            <w:r>
              <w:t>Sentenze, relazioni parlamentari e monografie possono riprodurre una medesima fonte originaria.</w:t>
            </w:r>
          </w:p>
        </w:tc>
      </w:tr>
      <w:tr>
        <w:tc>
          <w:tcPr>
            <w:tcW w:type="dxa" w:w="4759"/>
          </w:tcPr>
          <w:p>
            <w:r>
              <w:t>Indipendenza</w:t>
            </w:r>
          </w:p>
        </w:tc>
        <w:tc>
          <w:tcPr>
            <w:tcW w:type="dxa" w:w="4759"/>
          </w:tcPr>
          <w:p>
            <w:r>
              <w:t>Due dichiaranti che dipendono dallo stesso terzo non costituiscono automaticamente due conferme indipendenti.</w:t>
            </w:r>
          </w:p>
        </w:tc>
      </w:tr>
      <w:tr>
        <w:tc>
          <w:tcPr>
            <w:tcW w:type="dxa" w:w="4759"/>
          </w:tcPr>
          <w:p>
            <w:r>
              <w:t>Lacuna</w:t>
            </w:r>
          </w:p>
        </w:tc>
        <w:tc>
          <w:tcPr>
            <w:tcW w:type="dxa" w:w="4759"/>
          </w:tcPr>
          <w:p>
            <w:r>
              <w:t>Un documento non reperito non è automaticamente un documento distrutto o occultato.</w:t>
            </w:r>
          </w:p>
        </w:tc>
      </w:tr>
      <w:tr>
        <w:tc>
          <w:tcPr>
            <w:tcW w:type="dxa" w:w="4759"/>
          </w:tcPr>
          <w:p>
            <w:r>
              <w:t>Causalità</w:t>
            </w:r>
          </w:p>
        </w:tc>
        <w:tc>
          <w:tcPr>
            <w:tcW w:type="dxa" w:w="4759"/>
          </w:tcPr>
          <w:p>
            <w:r>
              <w:t>La contemporaneità temporale non dimostra un rapporto causale.</w:t>
            </w:r>
          </w:p>
        </w:tc>
      </w:tr>
      <w:tr>
        <w:tc>
          <w:tcPr>
            <w:tcW w:type="dxa" w:w="4759"/>
          </w:tcPr>
          <w:p>
            <w:r>
              <w:t>Ponte documentale</w:t>
            </w:r>
          </w:p>
        </w:tc>
        <w:tc>
          <w:tcPr>
            <w:tcW w:type="dxa" w:w="4759"/>
          </w:tcPr>
          <w:p>
            <w:r>
              <w:t>Per passare da contatto a coordinamento servono elementi che colleghino attori, azioni, tempi e finalità.</w:t>
            </w:r>
          </w:p>
        </w:tc>
      </w:tr>
      <w:tr>
        <w:tc>
          <w:tcPr>
            <w:tcW w:type="dxa" w:w="4759"/>
          </w:tcPr>
          <w:p>
            <w:r>
              <w:t>Autore materiale</w:t>
            </w:r>
          </w:p>
        </w:tc>
        <w:tc>
          <w:tcPr>
            <w:tcW w:type="dxa" w:w="4759"/>
          </w:tcPr>
          <w:p>
            <w:r>
              <w:t>L’identificazione dell’autore materiale di un documento non dimostra automaticamente mandante, apparato o beneficiario.</w:t>
            </w:r>
          </w:p>
        </w:tc>
      </w:tr>
    </w:tbl>
    <w:p>
      <w:pPr>
        <w:pStyle w:val="Heading1"/>
      </w:pPr>
      <w:r>
        <w:t>2. Le categorie delle lacune</w:t>
      </w:r>
    </w:p>
    <w:p>
      <w:pPr>
        <w:pStyle w:val="ListBullet"/>
      </w:pPr>
      <w:r>
        <w:rPr>
          <w:b/>
        </w:rPr>
        <w:t xml:space="preserve">L-A — lacuna archivistica: </w:t>
      </w:r>
      <w:r>
        <w:t>L’atto non è presente nel corpus disponibile.</w:t>
      </w:r>
    </w:p>
    <w:p>
      <w:pPr>
        <w:pStyle w:val="ListBullet"/>
      </w:pPr>
      <w:r>
        <w:rPr>
          <w:b/>
        </w:rPr>
        <w:t xml:space="preserve">L-B — lacuna di reperimento: </w:t>
      </w:r>
      <w:r>
        <w:t>L’atto è censito o indicato, ma non è ancora stato recuperato.</w:t>
      </w:r>
    </w:p>
    <w:p>
      <w:pPr>
        <w:pStyle w:val="ListBullet"/>
      </w:pPr>
      <w:r>
        <w:rPr>
          <w:b/>
        </w:rPr>
        <w:t xml:space="preserve">L-C — lacuna di lettura: </w:t>
      </w:r>
      <w:r>
        <w:t>L’atto è posseduto ma il contenuto non è ancora stato esaminato.</w:t>
      </w:r>
    </w:p>
    <w:p>
      <w:pPr>
        <w:pStyle w:val="ListBullet"/>
      </w:pPr>
      <w:r>
        <w:rPr>
          <w:b/>
        </w:rPr>
        <w:t xml:space="preserve">L-D — lacuna probatoria: </w:t>
      </w:r>
      <w:r>
        <w:t>L’atto è stato letto ma non risolve la questione.</w:t>
      </w:r>
    </w:p>
    <w:p>
      <w:pPr>
        <w:pStyle w:val="Heading1"/>
      </w:pPr>
      <w:r>
        <w:t>3. Gli otto interrogativi residui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N.</w:t>
            </w:r>
          </w:p>
        </w:tc>
        <w:tc>
          <w:tcPr>
            <w:tcW w:type="dxa" w:w="3173"/>
          </w:tcPr>
          <w:p>
            <w:r>
              <w:t>Questione</w:t>
            </w:r>
          </w:p>
        </w:tc>
        <w:tc>
          <w:tcPr>
            <w:tcW w:type="dxa" w:w="3173"/>
          </w:tcPr>
          <w:p>
            <w:r>
              <w:t>Stato</w:t>
            </w:r>
          </w:p>
        </w:tc>
      </w:tr>
      <w:tr>
        <w:tc>
          <w:tcPr>
            <w:tcW w:type="dxa" w:w="3173"/>
          </w:tcPr>
          <w:p>
            <w:r>
              <w:t>1</w:t>
            </w:r>
          </w:p>
        </w:tc>
        <w:tc>
          <w:tcPr>
            <w:tcW w:type="dxa" w:w="3173"/>
          </w:tcPr>
          <w:p>
            <w:r>
              <w:t>Dinamica del 16 marzo 1978 e rapimento</w:t>
            </w:r>
          </w:p>
        </w:tc>
        <w:tc>
          <w:tcPr>
            <w:tcW w:type="dxa" w:w="3173"/>
          </w:tcPr>
          <w:p>
            <w:r>
              <w:t>APERTA</w:t>
            </w:r>
          </w:p>
        </w:tc>
      </w:tr>
      <w:tr>
        <w:tc>
          <w:tcPr>
            <w:tcW w:type="dxa" w:w="3173"/>
          </w:tcPr>
          <w:p>
            <w:r>
              <w:t>2</w:t>
            </w:r>
          </w:p>
        </w:tc>
        <w:tc>
          <w:tcPr>
            <w:tcW w:type="dxa" w:w="3173"/>
          </w:tcPr>
          <w:p>
            <w:r>
              <w:t>Scomparsa del rullino fotografico</w:t>
            </w:r>
          </w:p>
        </w:tc>
        <w:tc>
          <w:tcPr>
            <w:tcW w:type="dxa" w:w="3173"/>
          </w:tcPr>
          <w:p>
            <w:r>
              <w:t>APERTA — da distinguere tra scomparsa e mancata acquisizione</w:t>
            </w:r>
          </w:p>
        </w:tc>
      </w:tr>
      <w:tr>
        <w:tc>
          <w:tcPr>
            <w:tcW w:type="dxa" w:w="3173"/>
          </w:tcPr>
          <w:p>
            <w:r>
              <w:t>3</w:t>
            </w:r>
          </w:p>
        </w:tc>
        <w:tc>
          <w:tcPr>
            <w:tcW w:type="dxa" w:w="3173"/>
          </w:tcPr>
          <w:p>
            <w:r>
              <w:t>Eventuale presenza/attivazione della criminalità organizzata</w:t>
            </w:r>
          </w:p>
        </w:tc>
        <w:tc>
          <w:tcPr>
            <w:tcW w:type="dxa" w:w="3173"/>
          </w:tcPr>
          <w:p>
            <w:r>
              <w:t>APERTA / NON ACCERTATA</w:t>
            </w:r>
          </w:p>
        </w:tc>
      </w:tr>
      <w:tr>
        <w:tc>
          <w:tcPr>
            <w:tcW w:type="dxa" w:w="3173"/>
          </w:tcPr>
          <w:p>
            <w:r>
              <w:t>4</w:t>
            </w:r>
          </w:p>
        </w:tc>
        <w:tc>
          <w:tcPr>
            <w:tcW w:type="dxa" w:w="3173"/>
          </w:tcPr>
          <w:p>
            <w:r>
              <w:t>Blocco delle linee telefoniche</w:t>
            </w:r>
          </w:p>
        </w:tc>
        <w:tc>
          <w:tcPr>
            <w:tcW w:type="dxa" w:w="3173"/>
          </w:tcPr>
          <w:p>
            <w:r>
              <w:t>APERTA</w:t>
            </w:r>
          </w:p>
        </w:tc>
      </w:tr>
      <w:tr>
        <w:tc>
          <w:tcPr>
            <w:tcW w:type="dxa" w:w="3173"/>
          </w:tcPr>
          <w:p>
            <w:r>
              <w:t>5</w:t>
            </w:r>
          </w:p>
        </w:tc>
        <w:tc>
          <w:tcPr>
            <w:tcW w:type="dxa" w:w="3173"/>
          </w:tcPr>
          <w:p>
            <w:r>
              <w:t>Luogo di prigionia</w:t>
            </w:r>
          </w:p>
        </w:tc>
        <w:tc>
          <w:tcPr>
            <w:tcW w:type="dxa" w:w="3173"/>
          </w:tcPr>
          <w:p>
            <w:r>
              <w:t>RISOLTA secondo la documentazione parlamentare recepita</w:t>
            </w:r>
          </w:p>
        </w:tc>
      </w:tr>
      <w:tr>
        <w:tc>
          <w:tcPr>
            <w:tcW w:type="dxa" w:w="3173"/>
          </w:tcPr>
          <w:p>
            <w:r>
              <w:t>6</w:t>
            </w:r>
          </w:p>
        </w:tc>
        <w:tc>
          <w:tcPr>
            <w:tcW w:type="dxa" w:w="3173"/>
          </w:tcPr>
          <w:p>
            <w:r>
              <w:t>Quarto uomo nella base</w:t>
            </w:r>
          </w:p>
        </w:tc>
        <w:tc>
          <w:tcPr>
            <w:tcW w:type="dxa" w:w="3173"/>
          </w:tcPr>
          <w:p>
            <w:r>
              <w:t>APERTA</w:t>
            </w:r>
          </w:p>
        </w:tc>
      </w:tr>
      <w:tr>
        <w:tc>
          <w:tcPr>
            <w:tcW w:type="dxa" w:w="3173"/>
          </w:tcPr>
          <w:p>
            <w:r>
              <w:t>7</w:t>
            </w:r>
          </w:p>
        </w:tc>
        <w:tc>
          <w:tcPr>
            <w:tcW w:type="dxa" w:w="3173"/>
          </w:tcPr>
          <w:p>
            <w:r>
              <w:t>Persona sotto identità apparente</w:t>
            </w:r>
          </w:p>
        </w:tc>
        <w:tc>
          <w:tcPr>
            <w:tcW w:type="dxa" w:w="3173"/>
          </w:tcPr>
          <w:p>
            <w:r>
              <w:t>RISOLTA secondo la documentazione parlamentare recepita</w:t>
            </w:r>
          </w:p>
        </w:tc>
      </w:tr>
      <w:tr>
        <w:tc>
          <w:tcPr>
            <w:tcW w:type="dxa" w:w="3173"/>
          </w:tcPr>
          <w:p>
            <w:r>
              <w:t>8</w:t>
            </w:r>
          </w:p>
        </w:tc>
        <w:tc>
          <w:tcPr>
            <w:tcW w:type="dxa" w:w="3173"/>
          </w:tcPr>
          <w:p>
            <w:r>
              <w:t>Comunicato apocrifo</w:t>
            </w:r>
          </w:p>
        </w:tc>
        <w:tc>
          <w:tcPr>
            <w:tcW w:type="dxa" w:w="3173"/>
          </w:tcPr>
          <w:p>
            <w:r>
              <w:t>PARZIALMENTE RISOLTA: autore materiale identificato; produzione materiale e rete di eventuale commissione ancora da verificare</w:t>
            </w:r>
          </w:p>
        </w:tc>
      </w:tr>
    </w:tbl>
    <w:p>
      <w:pPr>
        <w:pStyle w:val="Heading1"/>
      </w:pPr>
      <w:r>
        <w:t>4. Le tre discontinuità istituzionali</w:t>
      </w:r>
    </w:p>
    <w:p>
      <w:pPr>
        <w:pStyle w:val="Heading2"/>
      </w:pPr>
      <w:r>
        <w:t>21 marzo 1978 — allertamento Marina</w:t>
      </w:r>
    </w:p>
    <w:p>
      <w:r>
        <w:t>È documentato un allertamento alle 07:00 e la revoca alle 13:00. La documentazione è presente presso la Difesa/reparto, mentre non risulta reperito il corrispondente ordine presso l’Interno. La lacuna non dimostra da sola omissione, occultamento o coordinamento.</w:t>
      </w:r>
    </w:p>
    <w:p>
      <w:pPr>
        <w:pStyle w:val="Heading2"/>
      </w:pPr>
      <w:r>
        <w:t>Comitati di crisi dell’Interno</w:t>
      </w:r>
    </w:p>
    <w:p>
      <w:r>
        <w:t>Non risultano disponibili gli atti formali di insediamento né verbalizzazioni complete dell’operato; risultano invece appunti coevi di esperti. È necessario distinguere una possibile discontinuità di produzione da una semplice perdita di conservazione.</w:t>
      </w:r>
    </w:p>
    <w:p>
      <w:pPr>
        <w:pStyle w:val="Heading2"/>
      </w:pPr>
      <w:r>
        <w:t>30 marzo 1978 — richiesta e mancato seguito</w:t>
      </w:r>
    </w:p>
    <w:p>
      <w:r>
        <w:t>La documentazione consente di attestare la formazione di una richiesta e l’assenza del relativo seguito documentato. Quattordici anni dopo la circostanza fu oggetto di un procedimento penale poi concluso con richiesta di archiviazione. La motivazione integrale dell’archiviazione è un documento ad alto valore discriminante.</w:t>
      </w:r>
    </w:p>
    <w:p>
      <w:pPr>
        <w:pStyle w:val="Heading1"/>
      </w:pPr>
      <w:r>
        <w:t>5. Monte Nevoso — triangolazione 1978/1990</w:t>
      </w:r>
    </w:p>
    <w:p>
      <w:r>
        <w:t>Il corpus individuato consente di mettere a confronto la documentazione della perquisizione del 1 ottobre 1978 con quella relativa al rinvenimento del 9 ottobre 1990. La comparazione deve essere materiale e documentale, senza presupporre sottrazioni.</w:t>
      </w:r>
    </w:p>
    <w:p>
      <w:pPr>
        <w:pStyle w:val="ListBullet"/>
      </w:pPr>
      <w:r>
        <w:t>Confrontare rilievi fotografici e descrizioni del 1978.</w:t>
      </w:r>
    </w:p>
    <w:p>
      <w:pPr>
        <w:pStyle w:val="ListBullet"/>
      </w:pPr>
      <w:r>
        <w:t>Ricostruire la quantità e la numerazione documentata nel 1978.</w:t>
      </w:r>
    </w:p>
    <w:p>
      <w:pPr>
        <w:pStyle w:val="ListBullet"/>
      </w:pPr>
      <w:r>
        <w:t>Confrontare il corpus rinvenuto nel 1990, inclusi numerazione e trascrizione.</w:t>
      </w:r>
    </w:p>
    <w:p>
      <w:pPr>
        <w:pStyle w:val="ListBullet"/>
      </w:pPr>
      <w:r>
        <w:t>Ricostruire la catena di custodia e gli intervalli nei quali il controllo materiale degli atti cambiò soggetto.</w:t>
      </w:r>
    </w:p>
    <w:p>
      <w:pPr>
        <w:pStyle w:val="ListBullet"/>
      </w:pPr>
      <w:r>
        <w:t>Distinguere ciò che è materialmente dimostrato da ciò che è soltanto compatibile con una sottrazione o alterazione.</w:t>
      </w:r>
    </w:p>
    <w:p>
      <w:pPr>
        <w:pStyle w:val="Heading1"/>
      </w:pPr>
      <w:r>
        <w:t>6. Comunicazione apocrifa — separazione delle proposizioni</w:t>
      </w:r>
    </w:p>
    <w:p>
      <w:pPr>
        <w:pStyle w:val="ListBullet"/>
      </w:pPr>
      <w:r>
        <w:t>P8-A — chi fu riconosciuto giudiziariamente come autore materiale?</w:t>
      </w:r>
    </w:p>
    <w:p>
      <w:pPr>
        <w:pStyle w:val="ListBullet"/>
      </w:pPr>
      <w:r>
        <w:t>P8-B — come fu materialmente prodotto il documento?</w:t>
      </w:r>
    </w:p>
    <w:p>
      <w:pPr>
        <w:pStyle w:val="ListBullet"/>
      </w:pPr>
      <w:r>
        <w:t>P8-C — da dove provenivano le informazioni contenute?</w:t>
      </w:r>
    </w:p>
    <w:p>
      <w:pPr>
        <w:pStyle w:val="ListBullet"/>
      </w:pPr>
      <w:r>
        <w:t>P8-D — esiste prova di un mandante o di un apparato?</w:t>
      </w:r>
    </w:p>
    <w:p>
      <w:pPr>
        <w:pStyle w:val="ListBullet"/>
      </w:pPr>
      <w:r>
        <w:t>P8-E — quale soggetto avrebbe avuto interesse alla sua diffusione?</w:t>
      </w:r>
    </w:p>
    <w:p>
      <w:r>
        <w:t>La documentazione giudiziaria individuata consente di ancorare l’identificazione dell’autore materiale; non consente automaticamente di inferire mandante, apparato o finalità. La Voce 6 richiede inoltre l’esame del supporto, del mezzo di scrittura e delle modalità di confezione.</w:t>
      </w:r>
    </w:p>
    <w:p>
      <w:pPr>
        <w:pStyle w:val="Heading1"/>
      </w:pPr>
      <w:r>
        <w:t>7. Metodo per il 16 marzo 1978</w:t>
      </w:r>
    </w:p>
    <w:p>
      <w:pPr>
        <w:pStyle w:val="ListNumber"/>
      </w:pPr>
      <w:r>
        <w:t>T−1 — ciò che è documentato prima dell’evento</w:t>
      </w:r>
    </w:p>
    <w:p>
      <w:pPr>
        <w:pStyle w:val="ListNumber"/>
      </w:pPr>
      <w:r>
        <w:t>T0 — ingresso nella sequenza</w:t>
      </w:r>
    </w:p>
    <w:p>
      <w:pPr>
        <w:pStyle w:val="ListNumber"/>
      </w:pPr>
      <w:r>
        <w:t>T1 — aggressione</w:t>
      </w:r>
    </w:p>
    <w:p>
      <w:pPr>
        <w:pStyle w:val="ListNumber"/>
      </w:pPr>
      <w:r>
        <w:t>T2 — sottrazione di Moro</w:t>
      </w:r>
    </w:p>
    <w:p>
      <w:pPr>
        <w:pStyle w:val="ListNumber"/>
      </w:pPr>
      <w:r>
        <w:t>T3 — fuga</w:t>
      </w:r>
    </w:p>
    <w:p>
      <w:pPr>
        <w:pStyle w:val="ListNumber"/>
      </w:pPr>
      <w:r>
        <w:t>T4 — prime comunicazioni</w:t>
      </w:r>
    </w:p>
    <w:p>
      <w:pPr>
        <w:pStyle w:val="ListNumber"/>
      </w:pPr>
      <w:r>
        <w:t>T5 — attivazione degli apparati</w:t>
      </w:r>
    </w:p>
    <w:p>
      <w:pPr>
        <w:pStyle w:val="ListNumber"/>
      </w:pPr>
      <w:r>
        <w:t>T6 — prime decisioni</w:t>
      </w:r>
    </w:p>
    <w:p>
      <w:pPr>
        <w:pStyle w:val="ListNumber"/>
      </w:pPr>
      <w:r>
        <w:t>T7 — prime anomalie documentali</w:t>
      </w:r>
    </w:p>
    <w:p>
      <w:r>
        <w:t>Per ciascun segmento devono essere indicati: fatto; documento primario; testimonianza; apparato coinvolto; fonte derivata; eventuale seconda catena indipendente; contraddizioni; anomalie; spiegazioni alternative; grado probatorio.</w:t>
      </w:r>
    </w:p>
    <w:p>
      <w:pPr>
        <w:pStyle w:val="Heading1"/>
      </w:pPr>
      <w:r>
        <w:t>8. Matrice causale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Livello</w:t>
            </w:r>
          </w:p>
        </w:tc>
        <w:tc>
          <w:tcPr>
            <w:tcW w:type="dxa" w:w="2379"/>
          </w:tcPr>
          <w:p>
            <w:r>
              <w:t>Definizione</w:t>
            </w:r>
          </w:p>
        </w:tc>
        <w:tc>
          <w:tcPr>
            <w:tcW w:type="dxa" w:w="2379"/>
          </w:tcPr>
          <w:p>
            <w:r>
              <w:t>Esempio</w:t>
            </w:r>
          </w:p>
        </w:tc>
        <w:tc>
          <w:tcPr>
            <w:tcW w:type="dxa" w:w="2379"/>
          </w:tcPr>
          <w:p>
            <w:r>
              <w:t>Stato</w:t>
            </w:r>
          </w:p>
        </w:tc>
      </w:tr>
      <w:tr>
        <w:tc>
          <w:tcPr>
            <w:tcW w:type="dxa" w:w="2379"/>
          </w:tcPr>
          <w:p>
            <w:r>
              <w:t>A — fatto</w:t>
            </w:r>
          </w:p>
        </w:tc>
        <w:tc>
          <w:tcPr>
            <w:tcW w:type="dxa" w:w="2379"/>
          </w:tcPr>
          <w:p>
            <w:r>
              <w:t>Evento direttamente documentato</w:t>
            </w:r>
          </w:p>
        </w:tc>
        <w:tc>
          <w:tcPr>
            <w:tcW w:type="dxa" w:w="2379"/>
          </w:tcPr>
          <w:p>
            <w:r>
              <w:t>Ordine/allertamento</w:t>
            </w:r>
          </w:p>
        </w:tc>
        <w:tc>
          <w:tcPr>
            <w:tcW w:type="dxa" w:w="2379"/>
          </w:tcPr>
          <w:p>
            <w:r>
              <w:t>Da verificare per singolo caso</w:t>
            </w:r>
          </w:p>
        </w:tc>
      </w:tr>
      <w:tr>
        <w:tc>
          <w:tcPr>
            <w:tcW w:type="dxa" w:w="2379"/>
          </w:tcPr>
          <w:p>
            <w:r>
              <w:t>B — circostanza</w:t>
            </w:r>
          </w:p>
        </w:tc>
        <w:tc>
          <w:tcPr>
            <w:tcW w:type="dxa" w:w="2379"/>
          </w:tcPr>
          <w:p>
            <w:r>
              <w:t>Secondo elemento documentale collegato</w:t>
            </w:r>
          </w:p>
        </w:tc>
        <w:tc>
          <w:tcPr>
            <w:tcW w:type="dxa" w:w="2379"/>
          </w:tcPr>
          <w:p>
            <w:r>
              <w:t>Revoca dell’allertamento</w:t>
            </w:r>
          </w:p>
        </w:tc>
        <w:tc>
          <w:tcPr>
            <w:tcW w:type="dxa" w:w="2379"/>
          </w:tcPr>
          <w:p>
            <w:r>
              <w:t>Da verificare</w:t>
            </w:r>
          </w:p>
        </w:tc>
      </w:tr>
      <w:tr>
        <w:tc>
          <w:tcPr>
            <w:tcW w:type="dxa" w:w="2379"/>
          </w:tcPr>
          <w:p>
            <w:r>
              <w:t>C — interpretazione</w:t>
            </w:r>
          </w:p>
        </w:tc>
        <w:tc>
          <w:tcPr>
            <w:tcW w:type="dxa" w:w="2379"/>
          </w:tcPr>
          <w:p>
            <w:r>
              <w:t>Spiegazione compatibile con i fatti</w:t>
            </w:r>
          </w:p>
        </w:tc>
        <w:tc>
          <w:tcPr>
            <w:tcW w:type="dxa" w:w="2379"/>
          </w:tcPr>
          <w:p>
            <w:r>
              <w:t>Informazione specifica alla base dell’allertamento</w:t>
            </w:r>
          </w:p>
        </w:tc>
        <w:tc>
          <w:tcPr>
            <w:tcW w:type="dxa" w:w="2379"/>
          </w:tcPr>
          <w:p>
            <w:r>
              <w:t>Non equivale a prova</w:t>
            </w:r>
          </w:p>
        </w:tc>
      </w:tr>
      <w:tr>
        <w:tc>
          <w:tcPr>
            <w:tcW w:type="dxa" w:w="2379"/>
          </w:tcPr>
          <w:p>
            <w:r>
              <w:t>D — causalità</w:t>
            </w:r>
          </w:p>
        </w:tc>
        <w:tc>
          <w:tcPr>
            <w:tcW w:type="dxa" w:w="2379"/>
          </w:tcPr>
          <w:p>
            <w:r>
              <w:t>Rapporto causa-effetto documentato</w:t>
            </w:r>
          </w:p>
        </w:tc>
        <w:tc>
          <w:tcPr>
            <w:tcW w:type="dxa" w:w="2379"/>
          </w:tcPr>
          <w:p>
            <w:r>
              <w:t>Ordine disposto in risposta a una determinata informazione</w:t>
            </w:r>
          </w:p>
        </w:tc>
        <w:tc>
          <w:tcPr>
            <w:tcW w:type="dxa" w:w="2379"/>
          </w:tcPr>
          <w:p>
            <w:r>
              <w:t>Richiede ponte</w:t>
            </w:r>
          </w:p>
        </w:tc>
      </w:tr>
    </w:tbl>
    <w:p>
      <w:pPr>
        <w:pStyle w:val="Heading1"/>
      </w:pPr>
      <w:r>
        <w:t>9. Valore discriminante documentale (VDD)</w:t>
      </w:r>
    </w:p>
    <w:p>
      <w:r>
        <w:t>La priorità di acquisizione non deve dipendere da quanto un documento sia narrativamente interessante, ma dalla sua capacità di distinguere tra spiegazioni alternative.</w:t>
      </w:r>
    </w:p>
    <w:p>
      <w:pPr>
        <w:pStyle w:val="ListBullet"/>
      </w:pPr>
      <w:r>
        <w:rPr>
          <w:b/>
        </w:rPr>
        <w:t xml:space="preserve">VDD basso: </w:t>
      </w:r>
      <w:r>
        <w:t>Conferma qualcosa già noto.</w:t>
      </w:r>
    </w:p>
    <w:p>
      <w:pPr>
        <w:pStyle w:val="ListBullet"/>
      </w:pPr>
      <w:r>
        <w:rPr>
          <w:b/>
        </w:rPr>
        <w:t xml:space="preserve">VDD medio: </w:t>
      </w:r>
      <w:r>
        <w:t>Riduce il numero delle spiegazioni compatibili.</w:t>
      </w:r>
    </w:p>
    <w:p>
      <w:pPr>
        <w:pStyle w:val="ListBullet"/>
      </w:pPr>
      <w:r>
        <w:rPr>
          <w:b/>
        </w:rPr>
        <w:t xml:space="preserve">VDD alto: </w:t>
      </w:r>
      <w:r>
        <w:t>Separa due scenari incompatibili.</w:t>
      </w:r>
    </w:p>
    <w:p>
      <w:pPr>
        <w:pStyle w:val="ListBullet"/>
      </w:pPr>
      <w:r>
        <w:rPr>
          <w:b/>
        </w:rPr>
        <w:t xml:space="preserve">VDD massimo: </w:t>
      </w:r>
      <w:r>
        <w:t>Può chiudere una questione ancora aperta.</w:t>
      </w:r>
    </w:p>
    <w:p>
      <w:pPr>
        <w:pStyle w:val="Heading1"/>
      </w:pPr>
      <w:r>
        <w:t>10. Priorità documentali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Priorità</w:t>
            </w:r>
          </w:p>
        </w:tc>
        <w:tc>
          <w:tcPr>
            <w:tcW w:type="dxa" w:w="3173"/>
          </w:tcPr>
          <w:p>
            <w:r>
              <w:t>Documento</w:t>
            </w:r>
          </w:p>
        </w:tc>
        <w:tc>
          <w:tcPr>
            <w:tcW w:type="dxa" w:w="3173"/>
          </w:tcPr>
          <w:p>
            <w:r>
              <w:t>Valore</w:t>
            </w:r>
          </w:p>
        </w:tc>
      </w:tr>
      <w:tr>
        <w:tc>
          <w:tcPr>
            <w:tcW w:type="dxa" w:w="3173"/>
          </w:tcPr>
          <w:p>
            <w:r>
              <w:t>P1</w:t>
            </w:r>
          </w:p>
        </w:tc>
        <w:tc>
          <w:tcPr>
            <w:tcW w:type="dxa" w:w="3173"/>
          </w:tcPr>
          <w:p>
            <w:r>
              <w:t>Richiesta di archiviazione del 13 marzo 1992</w:t>
            </w:r>
          </w:p>
        </w:tc>
        <w:tc>
          <w:tcPr>
            <w:tcW w:type="dxa" w:w="3173"/>
          </w:tcPr>
          <w:p>
            <w:r>
              <w:t>Può spiegare la discontinuità del 30 marzo.</w:t>
            </w:r>
          </w:p>
        </w:tc>
      </w:tr>
      <w:tr>
        <w:tc>
          <w:tcPr>
            <w:tcW w:type="dxa" w:w="3173"/>
          </w:tcPr>
          <w:p>
            <w:r>
              <w:t>P1</w:t>
            </w:r>
          </w:p>
        </w:tc>
        <w:tc>
          <w:tcPr>
            <w:tcW w:type="dxa" w:w="3173"/>
          </w:tcPr>
          <w:p>
            <w:r>
              <w:t>Tre atti del procedimento-stralcio 320/91</w:t>
            </w:r>
          </w:p>
        </w:tc>
        <w:tc>
          <w:tcPr>
            <w:tcW w:type="dxa" w:w="3173"/>
          </w:tcPr>
          <w:p>
            <w:r>
              <w:t>Chiarire autore materiale e possibili rapporti fiduciari.</w:t>
            </w:r>
          </w:p>
        </w:tc>
      </w:tr>
      <w:tr>
        <w:tc>
          <w:tcPr>
            <w:tcW w:type="dxa" w:w="3173"/>
          </w:tcPr>
          <w:p>
            <w:r>
              <w:t>P1</w:t>
            </w:r>
          </w:p>
        </w:tc>
        <w:tc>
          <w:tcPr>
            <w:tcW w:type="dxa" w:w="3173"/>
          </w:tcPr>
          <w:p>
            <w:r>
              <w:t>Atti relativi al rullino</w:t>
            </w:r>
          </w:p>
        </w:tc>
        <w:tc>
          <w:tcPr>
            <w:tcW w:type="dxa" w:w="3173"/>
          </w:tcPr>
          <w:p>
            <w:r>
              <w:t>Distinguere scomparsa da mancata acquisizione.</w:t>
            </w:r>
          </w:p>
        </w:tc>
      </w:tr>
      <w:tr>
        <w:tc>
          <w:tcPr>
            <w:tcW w:type="dxa" w:w="3173"/>
          </w:tcPr>
          <w:p>
            <w:r>
              <w:t>P1</w:t>
            </w:r>
          </w:p>
        </w:tc>
        <w:tc>
          <w:tcPr>
            <w:tcW w:type="dxa" w:w="3173"/>
          </w:tcPr>
          <w:p>
            <w:r>
              <w:t>Documentazione tecnica Monte Nevoso 1978/1990</w:t>
            </w:r>
          </w:p>
        </w:tc>
        <w:tc>
          <w:tcPr>
            <w:tcW w:type="dxa" w:w="3173"/>
          </w:tcPr>
          <w:p>
            <w:r>
              <w:t>Consentire confronto materiale.</w:t>
            </w:r>
          </w:p>
        </w:tc>
      </w:tr>
      <w:tr>
        <w:tc>
          <w:tcPr>
            <w:tcW w:type="dxa" w:w="3173"/>
          </w:tcPr>
          <w:p>
            <w:r>
              <w:t>P2</w:t>
            </w:r>
          </w:p>
        </w:tc>
        <w:tc>
          <w:tcPr>
            <w:tcW w:type="dxa" w:w="3173"/>
          </w:tcPr>
          <w:p>
            <w:r>
              <w:t>Repertorio generale degli atti del Gabinetto</w:t>
            </w:r>
          </w:p>
        </w:tc>
        <w:tc>
          <w:tcPr>
            <w:tcW w:type="dxa" w:w="3173"/>
          </w:tcPr>
          <w:p>
            <w:r>
              <w:t>Ridurre le lacune archivistiche.</w:t>
            </w:r>
          </w:p>
        </w:tc>
      </w:tr>
      <w:tr>
        <w:tc>
          <w:tcPr>
            <w:tcW w:type="dxa" w:w="3173"/>
          </w:tcPr>
          <w:p>
            <w:r>
              <w:t>P2</w:t>
            </w:r>
          </w:p>
        </w:tc>
        <w:tc>
          <w:tcPr>
            <w:tcW w:type="dxa" w:w="3173"/>
          </w:tcPr>
          <w:p>
            <w:r>
              <w:t>Documentazione dei comitati di crisi</w:t>
            </w:r>
          </w:p>
        </w:tc>
        <w:tc>
          <w:tcPr>
            <w:tcW w:type="dxa" w:w="3173"/>
          </w:tcPr>
          <w:p>
            <w:r>
              <w:t>Verificare produzione e conservazione degli atti.</w:t>
            </w:r>
          </w:p>
        </w:tc>
      </w:tr>
      <w:tr>
        <w:tc>
          <w:tcPr>
            <w:tcW w:type="dxa" w:w="3173"/>
          </w:tcPr>
          <w:p>
            <w:r>
              <w:t>P2</w:t>
            </w:r>
          </w:p>
        </w:tc>
        <w:tc>
          <w:tcPr>
            <w:tcW w:type="dxa" w:w="3173"/>
          </w:tcPr>
          <w:p>
            <w:r>
              <w:t>Registri tecnici telefonici</w:t>
            </w:r>
          </w:p>
        </w:tc>
        <w:tc>
          <w:tcPr>
            <w:tcW w:type="dxa" w:w="3173"/>
          </w:tcPr>
          <w:p>
            <w:r>
              <w:t>Distinguere guasto, interruzione e blocco intenzionale.</w:t>
            </w:r>
          </w:p>
        </w:tc>
      </w:tr>
    </w:tbl>
    <w:p>
      <w:pPr>
        <w:pStyle w:val="Heading1"/>
      </w:pPr>
      <w:r>
        <w:t>11. Densità archivistica, informativa e probatoria</w:t>
      </w:r>
    </w:p>
    <w:p>
      <w:r>
        <w:t>Il volume di materiale non equivale alla quantità di prova indipendente. Occorre distinguere:</w:t>
      </w:r>
    </w:p>
    <w:p>
      <w:pPr>
        <w:pStyle w:val="ListBullet"/>
      </w:pPr>
      <w:r>
        <w:rPr>
          <w:b/>
        </w:rPr>
        <w:t xml:space="preserve">Densità archivistica: </w:t>
      </w:r>
      <w:r>
        <w:t>numero di documenti/unità</w:t>
      </w:r>
    </w:p>
    <w:p>
      <w:pPr>
        <w:pStyle w:val="ListBullet"/>
      </w:pPr>
      <w:r>
        <w:rPr>
          <w:b/>
        </w:rPr>
        <w:t xml:space="preserve">Densità informativa: </w:t>
      </w:r>
      <w:r>
        <w:t>numero di enunciati fattuali distinti</w:t>
      </w:r>
    </w:p>
    <w:p>
      <w:pPr>
        <w:pStyle w:val="ListBullet"/>
      </w:pPr>
      <w:r>
        <w:rPr>
          <w:b/>
        </w:rPr>
        <w:t xml:space="preserve">Densità probatoria: </w:t>
      </w:r>
      <w:r>
        <w:t>numero di catene indipendenti che sostengono gli enunciati</w:t>
      </w:r>
    </w:p>
    <w:p>
      <w:pPr>
        <w:pStyle w:val="ListBullet"/>
      </w:pPr>
      <w:r>
        <w:rPr>
          <w:b/>
        </w:rPr>
        <w:t xml:space="preserve">Densità causale: </w:t>
      </w:r>
      <w:r>
        <w:t>numero di ponti documentali che collegano eventi, attori e finalità</w:t>
      </w:r>
    </w:p>
    <w:p>
      <w:pPr>
        <w:pStyle w:val="Heading1"/>
      </w:pPr>
      <w:r>
        <w:t>12. Scala finale di valutazione</w:t>
      </w:r>
    </w:p>
    <w:p>
      <w:pPr>
        <w:pStyle w:val="ListBullet"/>
      </w:pPr>
      <w:r>
        <w:rPr>
          <w:b/>
        </w:rPr>
        <w:t xml:space="preserve">A — </w:t>
      </w:r>
      <w:r>
        <w:t>Accertato</w:t>
      </w:r>
    </w:p>
    <w:p>
      <w:pPr>
        <w:pStyle w:val="ListBullet"/>
      </w:pPr>
      <w:r>
        <w:rPr>
          <w:b/>
        </w:rPr>
        <w:t xml:space="preserve">B — </w:t>
      </w:r>
      <w:r>
        <w:t>Fortemente corroborato</w:t>
      </w:r>
    </w:p>
    <w:p>
      <w:pPr>
        <w:pStyle w:val="ListBullet"/>
      </w:pPr>
      <w:r>
        <w:rPr>
          <w:b/>
        </w:rPr>
        <w:t xml:space="preserve">C — </w:t>
      </w:r>
      <w:r>
        <w:t>Documentato ma non conclusivo</w:t>
      </w:r>
    </w:p>
    <w:p>
      <w:pPr>
        <w:pStyle w:val="ListBullet"/>
      </w:pPr>
      <w:r>
        <w:rPr>
          <w:b/>
        </w:rPr>
        <w:t xml:space="preserve">D — </w:t>
      </w:r>
      <w:r>
        <w:t>Compatibile</w:t>
      </w:r>
    </w:p>
    <w:p>
      <w:pPr>
        <w:pStyle w:val="ListBullet"/>
      </w:pPr>
      <w:r>
        <w:rPr>
          <w:b/>
        </w:rPr>
        <w:t xml:space="preserve">E — </w:t>
      </w:r>
      <w:r>
        <w:t>Ipotesi</w:t>
      </w:r>
    </w:p>
    <w:p>
      <w:pPr>
        <w:pStyle w:val="ListBullet"/>
      </w:pPr>
      <w:r>
        <w:rPr>
          <w:b/>
        </w:rPr>
        <w:t xml:space="preserve">F — </w:t>
      </w:r>
      <w:r>
        <w:t>Smentito / insostenibile</w:t>
      </w:r>
    </w:p>
    <w:p>
      <w:pPr>
        <w:pStyle w:val="ListBullet"/>
      </w:pPr>
      <w:r>
        <w:rPr>
          <w:b/>
        </w:rPr>
        <w:t xml:space="preserve">Z — </w:t>
      </w:r>
      <w:r>
        <w:t>Non verificabile allo stato</w:t>
      </w:r>
    </w:p>
    <w:p>
      <w:pPr>
        <w:pStyle w:val="Heading1"/>
      </w:pPr>
      <w:r>
        <w:t>13. Regola conclusiva dell’Opera</w:t>
      </w:r>
    </w:p>
    <w:p>
      <w:r>
        <w:rPr>
          <w:b/>
          <w:sz w:val="24"/>
        </w:rPr>
        <w:t>NON CERCARE LA PROVA DELLA TEORIA. CERCARE LA STRUTTURA DOCUMENTALE CHE OGNI TEORIA DEVE RIUSCIRE A SPIEGARE.</w:t>
      </w:r>
    </w:p>
    <w:p>
      <w:r>
        <w:t>Se una teoria spiega integralmente la struttura documentale e sopravvive alle controprove indipendenti, acquista grado. Se richiede fatti non documentati, viene declassata. Se contraddice atti primari, viene respinta. Se rimane compatibile con più spiegazioni, la questione resta aperta.</w:t>
      </w:r>
    </w:p>
    <w:p>
      <w:pPr>
        <w:pStyle w:val="Heading1"/>
      </w:pPr>
      <w:r>
        <w:t>14. Stato consolidato della ricerca</w:t>
      </w:r>
    </w:p>
    <w:p>
      <w:pPr>
        <w:pStyle w:val="ListBullet"/>
      </w:pPr>
      <w:r>
        <w:t>Le tre discontinuità istituzionali sono documentariamente identificabili, ma la loro intenzionalità non è dimostrata.</w:t>
      </w:r>
    </w:p>
    <w:p>
      <w:pPr>
        <w:pStyle w:val="ListBullet"/>
      </w:pPr>
      <w:r>
        <w:t>La questione del 30 marzo è circoscritta e dispone di un documento ad alto valore discriminante ancora da acquisire integralmente: la richiesta di archiviazione.</w:t>
      </w:r>
    </w:p>
    <w:p>
      <w:pPr>
        <w:pStyle w:val="ListBullet"/>
      </w:pPr>
      <w:r>
        <w:t>Monte Nevoso offre una comparazione documentale 1978/1990 concretamente praticabile.</w:t>
      </w:r>
    </w:p>
    <w:p>
      <w:pPr>
        <w:pStyle w:val="ListBullet"/>
      </w:pPr>
      <w:r>
        <w:t>L’autore materiale del comunicato apocrifo è ancorato agli atti giudiziari individuati; mandante, apparato e finalità restano questioni separate.</w:t>
      </w:r>
    </w:p>
    <w:p>
      <w:pPr>
        <w:pStyle w:val="ListBullet"/>
      </w:pPr>
      <w:r>
        <w:t>La questione della criminalità organizzata non può essere trasformata in fatto accertato senza un ponte documentale indipendente.</w:t>
      </w:r>
    </w:p>
    <w:p>
      <w:pPr>
        <w:pStyle w:val="ListBullet"/>
      </w:pPr>
      <w:r>
        <w:t>La moltiplicazione dei riferimenti bibliografici e parlamentari deve essere ricondotta alla genealogia effettiva delle fonti.</w:t>
      </w:r>
    </w:p>
    <w:p>
      <w:pPr>
        <w:pStyle w:val="ListBullet"/>
      </w:pPr>
      <w:r>
        <w:t>Il prossimo grande blocco operativo è la ricostruzione probatoria segmento-per-segmento del 16 marzo 1978.</w:t>
      </w:r>
    </w:p>
    <w:p/>
    <w:p>
      <w:pPr>
        <w:jc w:val="center"/>
      </w:pPr>
      <w:r>
        <w:rPr>
          <w:b/>
        </w:rPr>
        <w:t>Documento di lavoro — Opera Aldo Moro: Tutta la Verità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