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È la prima nota della campagna di verifica dei documenti acquisiti. Il metodo è quello del protocollo del repertorio: si isolano le affermazioni portanti del documento, le si riscontrano su fonti esterne indipendenti e si attribuisce a ciascuna il proprio grado. Il documento in esame non recava, come già certificato, alcuna gradazione interna: la verifica la fornisce dall'esterno. Il controllo è del sei agosto duemilaventisei.</w:t>
      </w:r>
    </w:p>
    <w:p>
      <w:pPr>
        <w:spacing w:line="276" w:lineRule="auto" w:before="0" w:after="0"/>
        <w:ind w:firstLine="425"/>
        <w:jc w:val="both"/>
      </w:pPr>
      <w:r>
        <w:rPr>
          <w:rFonts w:ascii="Times New Roman" w:hAnsi="Times New Roman" w:cs="Times New Roman" w:eastAsia="Times New Roman"/>
          <w:b/>
          <w:sz w:val="24"/>
        </w:rPr>
        <w:t>La spina storico-forense regge, ed è di grado pieno.</w:t>
      </w:r>
      <w:r>
        <w:rPr>
          <w:rFonts w:ascii="Times New Roman" w:hAnsi="Times New Roman" w:cs="Times New Roman" w:eastAsia="Times New Roman"/>
          <w:b w:val="0"/>
          <w:sz w:val="24"/>
        </w:rPr>
        <w:t xml:space="preserve"> Le date, le persone e gli eventi cardine del dossier trovano tutti riscontro puntuale. È confermato il disastro automobilistico di Susurluk del tre novembre millenovecentonovantasei, con la morte di Abdullah Çatlı, del vicecapo della polizia Hüseyin Kocadağ e di Gonca Us, e con il deputato Sedat Bucak unico sopravvissuto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È confermato il massacro di Bahçelievler del nove ottobre millenovecentosettantotto, sette studenti del partito dei lavoratori uccisi da un commando in cui figuravano Çatlı e Haluk Kırcı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È confermata la biografia di Çatlı: nato il primo giugno millenovecentocinquantasei a Nevşehir, arrestato a Parigi il ventiquattro ottobre millenovecentottantaquattro per traffico di droga, consegnato alla Svizzera, evaso dal carcere di Bostadel nel marzo millenovecentonovanta con l'aiuto della rete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È confermato l'attentato di Mehmet Ali Ağca a Giovanni Paolo Secondo il tredici maggio millenovecentottantuno, preceduto dall'omicidio del direttore Abdi İpekçi nel millenovecentosettantanove e dall'evasione dal carcere militare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che l'evasione di Ağca sia stata materialmente agevolata da Çatlı è ripetuto dalla pubblicistica ma non emerge dalle fonti primarie consultate, e resta al grado inferiore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Sono confermati l'assunzione del partito precursore da parte di Alparslan Türkeş nel millenovecentosessantacinque, la nascita dei Focolari degli Idealisti nel millenovecentosessantasei e la fondazione del Partito del Movimento Nazionalista nel millenovecentosessantanove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massacro di Maraş del dicembre millenovecentosettantotto contro la minoranza alevita, con oltre cento morti secondo il dato ufficiale e stime assai più alte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la messa al bando dell'organizzazione in Francia con decreto del quattro novembre duemilaventi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Il nodo di maggiore interesse per l'opera è confermato, e va valorizzato.</w:t>
      </w:r>
      <w:r>
        <w:rPr>
          <w:rFonts w:ascii="Times New Roman" w:hAnsi="Times New Roman" w:cs="Times New Roman" w:eastAsia="Times New Roman"/>
          <w:b w:val="0"/>
          <w:sz w:val="24"/>
        </w:rPr>
        <w:t xml:space="preserve"> Il documento colloca Çatlı a Miami nel millenovecentottantadue in compagnia di Stefano Delle Chiaie, membro fondatore dell'Aginter Press e attore della strategia della tensione. Il riscontro è positivo e solido: registri doganali statunitensi declassificati attestano l'ingresso di Çatlı dagli Stati Uniti a Miami nel settembre millenovecentottantadue, il suo viaggio insieme a Delle Chiaie, la partecipazione a una riunione della Lega anticomunista mondiale e il successivo trasferimento in Bolivia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È un innesto prezioso, perché salda documentalmente lo Stato profondo turco alla rete neofascista transnazionale — l'ambiente Aginter e Delle Chiaie — già ricostruita nel corpus dell'opera. Va però distinta la presenza accertata dalla lettura che il documento vi sovrappone, cioè la «tacita protezione delle agenzie americane»: questa è un'inferenza, non un dato di quelle carte, e va tenuta al grado inferiore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Dove il documento è fragile, e non va trasfuso nell'opera senza cautela.</w:t>
      </w:r>
      <w:r>
        <w:rPr>
          <w:rFonts w:ascii="Times New Roman" w:hAnsi="Times New Roman" w:cs="Times New Roman" w:eastAsia="Times New Roman"/>
          <w:b w:val="0"/>
          <w:sz w:val="24"/>
        </w:rPr>
        <w:t xml:space="preserve"> La parte economica reca cifre macroscopiche prive di citazione e di verosimiglianza: introiti del narcotraffico dell'ordine di decine di miliardi di dollari nel solo millenovecentonovantacinque e ancor più nel millenovecentonovantasei, un drenaggio di miliardi dal tesoro per la guerra del Golfo, una quota dei quattro quinti del mercato europeo dell'eroina. La posizione della Turchia sulla rotta balcanica e il peso del transito anatolico sono acquisiti in letteratura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ma le quantificazioni monetarie del documento non trovano riscontro e appaiono gonfiate: vanno trattate come non verificate e messe in quarantena, non riportate come fatti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Nella stessa classe di cautela rientrano le stime numeriche di tesserati e filiali delle federazioni europee, plausibili come ordine di grandezza ma non verificate una per una </w:t>
      </w:r>
      <w:r>
        <w:rPr>
          <w:rFonts w:ascii="Times New Roman" w:hAnsi="Times New Roman" w:cs="Times New Roman" w:eastAsia="Times New Roman"/>
          <w:b/>
          <w:sz w:val="24"/>
        </w:rPr>
        <w:t>(Livello B/C)</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Verdetto complessivo.</w:t>
      </w:r>
      <w:r>
        <w:rPr>
          <w:rFonts w:ascii="Times New Roman" w:hAnsi="Times New Roman" w:cs="Times New Roman" w:eastAsia="Times New Roman"/>
          <w:b w:val="0"/>
          <w:sz w:val="24"/>
        </w:rPr>
        <w:t xml:space="preserve"> Il documento è attendibile nella sua ossatura storico-forense, confermata al grado pieno in tutti i suoi snodi accertabili, ed è anzi utile all'opera perché ne documenta un innesto — il legame Çatlı-Delle Chiaie — coerente con la rete già ricostruita; è invece fragile nelle sue quantificazioni economiche, che vanno neutralizzate. Se ne certifica dunque la verifica con questo esito: utilizzabile come fonte per l'opera una volta che le cifre di grado C siano espunte o ricondotte a una fonte primaria, e purché ogni affermazione vi entri con il grado qui attribuito e non con quello, assente, del documento originario. Questa è la prima voce del registro delle verifiche documentali; le successive proseguiranno documento per documento.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Susurluk car crash — https://en.wikipedia.org/wiki/Susurluk_car_crash</w:t>
      </w:r>
    </w:p>
    <w:p>
      <w:pPr>
        <w:spacing w:line="276" w:lineRule="auto" w:before="0" w:after="0"/>
        <w:ind w:firstLine="425"/>
        <w:jc w:val="both"/>
      </w:pPr>
      <w:r>
        <w:rPr>
          <w:rFonts w:ascii="Times New Roman" w:hAnsi="Times New Roman" w:cs="Times New Roman" w:eastAsia="Times New Roman"/>
          <w:b w:val="0"/>
          <w:sz w:val="24"/>
        </w:rPr>
        <w:t>Bahçelievler massacre — https://en.wikipedia.org/wiki/Bah%C3%A7elievler_massacre</w:t>
      </w:r>
    </w:p>
    <w:p>
      <w:pPr>
        <w:spacing w:line="276" w:lineRule="auto" w:before="0" w:after="0"/>
        <w:ind w:firstLine="425"/>
        <w:jc w:val="both"/>
      </w:pPr>
      <w:r>
        <w:rPr>
          <w:rFonts w:ascii="Times New Roman" w:hAnsi="Times New Roman" w:cs="Times New Roman" w:eastAsia="Times New Roman"/>
          <w:b w:val="0"/>
          <w:sz w:val="24"/>
        </w:rPr>
        <w:t>Abdullah Çatlı (biografia; arresto Parigi 1984; evasione Bostadel 1990) — https://en.wikipedia.org/wiki/Abdullah_%C3%87atl%C4%B1</w:t>
      </w:r>
    </w:p>
    <w:p>
      <w:pPr>
        <w:spacing w:line="276" w:lineRule="auto" w:before="0" w:after="0"/>
        <w:ind w:firstLine="425"/>
        <w:jc w:val="both"/>
      </w:pPr>
      <w:r>
        <w:rPr>
          <w:rFonts w:ascii="Times New Roman" w:hAnsi="Times New Roman" w:cs="Times New Roman" w:eastAsia="Times New Roman"/>
          <w:b w:val="0"/>
          <w:sz w:val="24"/>
        </w:rPr>
        <w:t>Çatlı a Miami nel settembre 1982 con Delle Chiaie (registri doganali USA declassificati) — https://military-history.fandom.com/wiki/Abdullah_%C3%87atl%C4%B1</w:t>
      </w:r>
    </w:p>
    <w:p>
      <w:pPr>
        <w:spacing w:line="276" w:lineRule="auto" w:before="0" w:after="0"/>
        <w:ind w:firstLine="425"/>
        <w:jc w:val="both"/>
      </w:pPr>
      <w:r>
        <w:rPr>
          <w:rFonts w:ascii="Times New Roman" w:hAnsi="Times New Roman" w:cs="Times New Roman" w:eastAsia="Times New Roman"/>
          <w:b w:val="0"/>
          <w:sz w:val="24"/>
        </w:rPr>
        <w:t>Stefano Delle Chiaie — https://en.wikipedia.org/wiki/Stefano_Delle_Chiaie</w:t>
      </w:r>
    </w:p>
    <w:p>
      <w:pPr>
        <w:spacing w:line="276" w:lineRule="auto" w:before="0" w:after="0"/>
        <w:ind w:firstLine="425"/>
        <w:jc w:val="both"/>
      </w:pPr>
      <w:r>
        <w:rPr>
          <w:rFonts w:ascii="Times New Roman" w:hAnsi="Times New Roman" w:cs="Times New Roman" w:eastAsia="Times New Roman"/>
          <w:b w:val="0"/>
          <w:sz w:val="24"/>
        </w:rPr>
        <w:t>Mehmet Ali Ağca, attentato del 13 maggio 1981; omicidio İpekçi 1979 — https://www.history.com/this-day-in-history/may-13/pope-john-paul-ii-shot</w:t>
      </w:r>
    </w:p>
    <w:p>
      <w:pPr>
        <w:spacing w:line="276" w:lineRule="auto" w:before="0" w:after="0"/>
        <w:ind w:firstLine="425"/>
        <w:jc w:val="both"/>
      </w:pPr>
      <w:r>
        <w:rPr>
          <w:rFonts w:ascii="Times New Roman" w:hAnsi="Times New Roman" w:cs="Times New Roman" w:eastAsia="Times New Roman"/>
          <w:b w:val="0"/>
          <w:sz w:val="24"/>
        </w:rPr>
        <w:t>Nationalist Movement Party (MHP), Türkeş, CKMP 1965, MHP 1969 — https://en.wikipedia.org/wiki/Nationalist_Movement_Party</w:t>
      </w:r>
    </w:p>
    <w:p>
      <w:pPr>
        <w:spacing w:line="276" w:lineRule="auto" w:before="0" w:after="0"/>
        <w:ind w:firstLine="425"/>
        <w:jc w:val="both"/>
      </w:pPr>
      <w:r>
        <w:rPr>
          <w:rFonts w:ascii="Times New Roman" w:hAnsi="Times New Roman" w:cs="Times New Roman" w:eastAsia="Times New Roman"/>
          <w:b w:val="0"/>
          <w:sz w:val="24"/>
        </w:rPr>
        <w:t>Maraş massacre (dicembre 1978) — https://en.wikipedia.org/wiki/Mara%C5%9F_massacre</w:t>
      </w:r>
    </w:p>
    <w:p>
      <w:pPr>
        <w:spacing w:line="276" w:lineRule="auto" w:before="0" w:after="0"/>
        <w:ind w:firstLine="425"/>
        <w:jc w:val="both"/>
      </w:pPr>
      <w:r>
        <w:rPr>
          <w:rFonts w:ascii="Times New Roman" w:hAnsi="Times New Roman" w:cs="Times New Roman" w:eastAsia="Times New Roman"/>
          <w:b w:val="0"/>
          <w:sz w:val="24"/>
        </w:rPr>
        <w:t>Scioglimento dei Lupi Grigi in Francia, 4 novembre 2020 (comunicato MFA turco) — https://www.mfa.gov.tr/no_-276_-bozkurtlar-hareketinin-kapatilmasina-iliskin-bakanlar-kurulu-karari-hk.en.mfa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