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prosegue l'approfondimento del sotto-hub russo lungo il ramo che dal boss Semion Mogilevich conduce all'energia e alla geopolitica: l'intermediario del gas RosUkrEnergo, l'oligarca Dmytro Firtash e il colosso statale Gazprom, fino alle dispute del gas fra Russia e Ucraina e alle strutture off-shore che vi stanno dietro. È il passaggio in cui la finanza-criminale post-sovietica smette d'essere solo riciclaggio e diventa leva di potere fra Stati. La disciplina probatoria resta quella dell'opera, con una distinzione che qui è decisiva: fra ciò che è documentato e ciò che è soltanto allegato. Il lavoro è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struttura, al grado pieno.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RosUkrEnergo è un intermediario del gas registrato in Svizzera, che trasportava gas turkmeno verso l'Europa orientale; il suo capitale era diviso in due metà, una in mano al colosso statale russo Gazprom, l'altra a un consorzio controllato dall'oligarca ucraino Dmytro Firtash e da Ivan Fursin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Attorno a questo veicolo ruotarono le dispute del gas fra Russia e Ucraina della metà degli anni Duemila e degli anni seguenti, quando le interruzioni e i rincari delle forniture furono usati come arma geopolitica: RosUkrEnergo era il perno del meccanismo, e la sua opacità societaria ne faceva il punto in cui il denaro del gas si mescolava agli interessi politici dei due Paesi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L'aggancio con Mogilevich: qui la cautela è tutto.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legame con il boss del sotto-hub passa per due canali distinti, che vanno graduati diversamente. Il primo è documentale: i cablogrammi diplomatici statunitensi resi pubblici allegano che Mogilevich controlli RosUkrEnergo, e che fra i beneficiari vi siano funzionari collocati nell'industria del gas russa e ucraina; ma si tratta d'un'allegazione contenuta nei dispacci, non d'un fatto provato in giudizio </w:t>
      </w:r>
      <w:r>
        <w:rPr>
          <w:rFonts w:ascii="Times New Roman" w:hAnsi="Times New Roman" w:cs="Times New Roman" w:eastAsia="Times New Roman"/>
          <w:b/>
          <w:sz w:val="24"/>
        </w:rPr>
        <w:t>(Livello B, allegazione documentata)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secondo canale è un'ammissione: in uno di quei cablogrammi è lo stesso Firtash a riconoscere legami con Mogilevich e a dire d'aver ottenuto la propria posizione con l'accordo del presidente russo e, appunto, del boss. L'ammissione è documentata al grado pieno; ciò che essa esattamente significhi resta da pesare </w:t>
      </w:r>
      <w:r>
        <w:rPr>
          <w:rFonts w:ascii="Times New Roman" w:hAnsi="Times New Roman" w:cs="Times New Roman" w:eastAsia="Times New Roman"/>
          <w:b/>
          <w:sz w:val="24"/>
        </w:rPr>
        <w:t>(Livello A per l'esistenza dell'ammissione; la portata è Livello B)</w:t>
      </w:r>
      <w:r>
        <w:rPr>
          <w:rFonts w:ascii="Times New Roman" w:hAnsi="Times New Roman" w:cs="Times New Roman" w:eastAsia="Times New Roman"/>
          <w:b w:val="0"/>
          <w:sz w:val="24"/>
        </w:rPr>
        <w:t>. È il punto in cui il metodo dell'opera dà il meglio: si registra il dato, senza trasformare un'allegazione in una sentenza.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Firtash fra politica e giustizia.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L'oligarca è insieme un nodo del dominio economico e un nodo del dominio politico. Fu intermediario per Gazprom con legami al Cremlino e finanziatore dell'area filo-russa in Ucraina, quella che ebbe in Viktor Yanukovych, fuggito nel duemilaquattordici, il suo riferimento </w:t>
      </w:r>
      <w:r>
        <w:rPr>
          <w:rFonts w:ascii="Times New Roman" w:hAnsi="Times New Roman" w:cs="Times New Roman" w:eastAsia="Times New Roman"/>
          <w:b/>
          <w:sz w:val="24"/>
        </w:rPr>
        <w:t>(Livello A per il ruolo; Livello B per il finanziamento, riferito)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Sul piano giudiziario, Firtash è stato incriminato negli Stati Uniti nel duemilatredici per una cospirazione corruttiva — il pagamento di circa diciotto milioni e mezzo di dollari di tangenti per ottenere permessi d'estrazione del titanio in India, titanio destinato alla grande industria aeronautica </w:t>
      </w:r>
      <w:r>
        <w:rPr>
          <w:rFonts w:ascii="Times New Roman" w:hAnsi="Times New Roman" w:cs="Times New Roman" w:eastAsia="Times New Roman"/>
          <w:b/>
          <w:sz w:val="24"/>
        </w:rPr>
        <w:t>(Livello A per l'atto d'accusa)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Arrestato a Vienna nel duemilaquattordici e liberato dietro una cauzione ingentissima, ha attraversato una lunghissima vicenda d'estradizione dagli esiti alterni, conclusasi con il blocco della consegna agli Stati Uniti. Vale anche qui la distinzione ferma: è un uomo incriminato, mai condannato </w:t>
      </w:r>
      <w:r>
        <w:rPr>
          <w:rFonts w:ascii="Times New Roman" w:hAnsi="Times New Roman" w:cs="Times New Roman" w:eastAsia="Times New Roman"/>
          <w:b/>
          <w:sz w:val="24"/>
        </w:rPr>
        <w:t>(Livello A per la vicenda; nessuna condanna)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L'off-shore e la saldatura col corpus.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denaro di RosUkrEnergo viveva nelle pieghe off-shore: la società registrata in Svizzera, il consorzio gestito attraverso una holding viennese, e più in generale quel circuito di giurisdizioni opache che il registro dell'opera già conosce e che ha in Cipro l'hub della criminalità russa </w:t>
      </w:r>
      <w:r>
        <w:rPr>
          <w:rFonts w:ascii="Times New Roman" w:hAnsi="Times New Roman" w:cs="Times New Roman" w:eastAsia="Times New Roman"/>
          <w:b/>
          <w:sz w:val="24"/>
        </w:rPr>
        <w:t>(Livello A per Svizzera e Vienna; il tema di Cipro è del registro)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Con questo passaggio il sotto-hub si chiude su sé stesso e si àncora al corpus: Mogilevich e la Solntsevskaya vengono dalla nota quarta e dall'estrazione del dominio primo; la European Union Bank e lo scandalo della Bank of New York vengono dai due lavori precedenti di questa sessione; Gazprom e i suoi satelliti mediatici — il gruppo dei media di Gazprom, la figura di Kovalchuk — sono già fra i candidati del dominio dei media nel registro-madre </w:t>
      </w:r>
      <w:r>
        <w:rPr>
          <w:rFonts w:ascii="Times New Roman" w:hAnsi="Times New Roman" w:cs="Times New Roman" w:eastAsia="Times New Roman"/>
          <w:b/>
          <w:sz w:val="24"/>
        </w:rPr>
        <w:t>(arco confermato, coerente con la nota quarta)</w:t>
      </w:r>
      <w:r>
        <w:rPr>
          <w:rFonts w:ascii="Times New Roman" w:hAnsi="Times New Roman" w:cs="Times New Roman" w:eastAsia="Times New Roman"/>
          <w:b w:val="0"/>
          <w:sz w:val="24"/>
        </w:rPr>
        <w:t>. La catena, letta per intero, va dalla banca-Internet caraibica fino all'arma del gas fra due Stati.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Verdetto.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L'estensione nodizza dieci nodi e otto archi del ramo energetico, depositati nel foglio di servizio allegato con i loro gradi. Si tiene fermo lo statuto, e in modo particolarmente rigoroso qui: l'assetto di RosUkrEnergo, le dispute del gas, l'esistenza dei cablogrammi e dell'ammissione di Firtash, l'incriminazione e la saga dell'estradizione sono al grado pieno; il controllo di RosUkrEnergo da parte di Mogilevich è un'allegazione dei dispacci, non una prova, e come tale va tenuta al grado del probabile; e si ribadisce che l'incriminato non è un condannato e il latitante non è stato giudicato. Se ne certifica l'approfondimento con questo esito. È la decima voce d'integrazione della sessione, e completa il ramo che collega il crimine organizzato russo all'energia e alla geopolitica.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RosUkrEnergo (registrata in Svizzera; 50% Gazprom, 50% Firtash-Fursin) — https://en.wikipedia.org/wiki/RosUkrEnergo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Dmytro Firtash (Group DF; legami Cremlino; ammissione su Mogilevich nei cablo) — https://en.wikipedia.org/wiki/Dmytro_Firtash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2005–2006 Russia–Ukraine gas dispute — https://en.wikipedia.org/wiki/2005%E2%80%932006_Russia%E2%80%93Ukraine_gas_dispute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OCCRP / RFE-RL — Firtash: arresto a Vienna, incriminazione USA (titanio), saga estradizione — https://www.rferl.org/a/austria-ukraine-firtash-oligarch-extradition-bribery/33619305.html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U.S. DoJ (Northern District of Illinois) — incriminazione Firtash (2013/2014) — https://www.justice.gov/usao/iln/pr/chicago/2014/pr0314_01.html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Incrocio interno al corpus: nota di verifica n.4 (Mogilevich/Solntsevskaya), nodo European Union Bank e sotto-hub Bank of New York (sessione); registro-madre (Cipro hub off-shore; Gazprom-Media/Kovalchuk fra i candidati D8)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di servizio allegato: repertorio/ITALIA_NERA_SOTTOHUB_GAS_ROSUKRENERGO_FIRTASH.xlsx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