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ind w:firstLine="0"/>
        <w:jc w:val="center"/>
      </w:pPr>
      <w:r>
        <w:rPr>
          <w:rFonts w:ascii="Times New Roman" w:hAnsi="Times New Roman" w:cs="Times New Roman" w:eastAsia="Times New Roman"/>
          <w:b/>
          <w:i w:val="0"/>
          <w:sz w:val="28"/>
        </w:rPr>
        <w:t>ITALIA NERA</w:t>
      </w:r>
    </w:p>
    <w:p>
      <w:pPr>
        <w:spacing w:line="276" w:lineRule="auto" w:before="0" w:after="120"/>
        <w:ind w:firstLine="0"/>
        <w:jc w:val="center"/>
      </w:pPr>
      <w:r>
        <w:rPr>
          <w:rFonts w:ascii="Times New Roman" w:hAnsi="Times New Roman" w:cs="Times New Roman" w:eastAsia="Times New Roman"/>
          <w:b/>
          <w:i w:val="0"/>
          <w:sz w:val="24"/>
        </w:rPr>
        <w:t>ATTO DI RICEZIONE INTEGRATIVO ALLA VERSIONE SESSANTASETTESIMA</w:t>
      </w:r>
    </w:p>
    <w:p>
      <w:pPr>
        <w:spacing w:line="276" w:lineRule="auto" w:before="0" w:after="360"/>
        <w:ind w:firstLine="0"/>
        <w:jc w:val="center"/>
      </w:pPr>
      <w:r>
        <w:rPr>
          <w:rFonts w:ascii="Times New Roman" w:hAnsi="Times New Roman" w:cs="Times New Roman" w:eastAsia="Times New Roman"/>
          <w:b w:val="0"/>
          <w:i/>
          <w:sz w:val="22"/>
        </w:rPr>
        <w:t>Sei agosto duemilaventisei</w:t>
      </w:r>
    </w:p>
    <w:p>
      <w:pPr>
        <w:spacing w:line="276" w:lineRule="auto" w:before="0" w:after="0"/>
        <w:ind w:firstLine="425"/>
        <w:jc w:val="both"/>
      </w:pPr>
      <w:r>
        <w:rPr>
          <w:rFonts w:ascii="Times New Roman" w:hAnsi="Times New Roman" w:cs="Times New Roman" w:eastAsia="Times New Roman"/>
          <w:b w:val="0"/>
          <w:i w:val="0"/>
          <w:sz w:val="24"/>
        </w:rPr>
        <w:t>Registro Analitico delle Reti Informali Transnazionali</w:t>
      </w:r>
    </w:p>
    <w:p>
      <w:pPr>
        <w:spacing w:line="276" w:lineRule="auto" w:before="0" w:after="0"/>
        <w:ind w:firstLine="425"/>
        <w:jc w:val="both"/>
      </w:pPr>
      <w:r>
        <w:rPr>
          <w:rFonts w:ascii="Times New Roman" w:hAnsi="Times New Roman" w:cs="Times New Roman" w:eastAsia="Times New Roman"/>
          <w:b w:val="0"/>
          <w:i w:val="0"/>
          <w:sz w:val="24"/>
        </w:rPr>
        <w:t>Censimento di cinque documenti pervenuti dopo la promulgazione, riconciliazione di sette serie identificative autonome, scioglimento della lacuna toponomastica Hyperion e soppressione della sesta duplicazione</w:t>
      </w:r>
    </w:p>
    <w:p>
      <w:pPr>
        <w:spacing w:line="276" w:lineRule="auto" w:before="0" w:after="0"/>
        <w:ind w:firstLine="425"/>
        <w:jc w:val="both"/>
      </w:pPr>
      <w:r>
        <w:rPr>
          <w:rFonts w:ascii="Times New Roman" w:hAnsi="Times New Roman" w:cs="Times New Roman" w:eastAsia="Times New Roman"/>
          <w:b w:val="0"/>
          <w:i w:val="0"/>
          <w:sz w:val="24"/>
        </w:rPr>
        <w:t>Luigi De Michele</w:t>
      </w:r>
    </w:p>
    <w:p>
      <w:pPr>
        <w:spacing w:line="276" w:lineRule="auto" w:before="280" w:after="120"/>
        <w:ind w:firstLine="0"/>
        <w:jc w:val="left"/>
      </w:pPr>
      <w:r>
        <w:rPr>
          <w:rFonts w:ascii="Times New Roman" w:hAnsi="Times New Roman" w:cs="Times New Roman" w:eastAsia="Times New Roman"/>
          <w:b/>
          <w:i w:val="0"/>
          <w:sz w:val="24"/>
        </w:rPr>
        <w:t>Premessa e statuto dell'atto</w:t>
      </w:r>
    </w:p>
    <w:p>
      <w:pPr>
        <w:spacing w:line="276" w:lineRule="auto" w:before="0" w:after="0"/>
        <w:ind w:firstLine="425"/>
        <w:jc w:val="both"/>
      </w:pPr>
      <w:r>
        <w:rPr>
          <w:rFonts w:ascii="Times New Roman" w:hAnsi="Times New Roman" w:cs="Times New Roman" w:eastAsia="Times New Roman"/>
          <w:b w:val="0"/>
          <w:i w:val="0"/>
          <w:sz w:val="24"/>
        </w:rPr>
        <w:t>Il presente atto è integrativo della versione sessantasettesima dell'opera, promulgata il sei agosto duemilaventisei quale edizione quarta del Registro Unico Federato. Esso è reso necessario dalla circostanza che cinque documenti distinti sono pervenuti al perimetro dopo la promulgazione, nella medesima giornata. La costituzione federativa non consente di riscrivere un'edizione promulgata, poiché il principio di conservazione cumulativa impone che ogni versione preservi le precedenti alla lettera; e non è opportuno aprire una versione sessantottesima per un atto di sola ricezione, poiché la serie versionale registra atti di sostanza e non movimenti di perimetro. Si adotta pertanto la forma dell'atto integrativo, che si allega alla sessantasettesima senza modificarne il corpo, ne estende gli identificativi stabili e ne aggiorna la tavola delle lacune.</w:t>
      </w:r>
    </w:p>
    <w:p>
      <w:pPr>
        <w:spacing w:line="276" w:lineRule="auto" w:before="0" w:after="0"/>
        <w:ind w:firstLine="425"/>
        <w:jc w:val="both"/>
      </w:pPr>
      <w:r>
        <w:rPr>
          <w:rFonts w:ascii="Times New Roman" w:hAnsi="Times New Roman" w:cs="Times New Roman" w:eastAsia="Times New Roman"/>
          <w:b w:val="0"/>
          <w:i w:val="0"/>
          <w:sz w:val="24"/>
        </w:rPr>
        <w:t>L'atto esegue quattro operazioni. Censisce i cinque documenti distinti pervenuti, con la loro consistenza misurata e il loro statuto dichiarato. Riconcilia con il sistema federato le sette serie identificative autonome recate da uno di essi. Scioglie una lacuna della tavola che era aperta da più versioni. Registra la soppressione di una duplicazione e la sostituzione di una copia difettosa.</w:t>
      </w:r>
    </w:p>
    <w:p>
      <w:pPr>
        <w:spacing w:line="276" w:lineRule="auto" w:before="280" w:after="120"/>
        <w:ind w:firstLine="0"/>
        <w:jc w:val="left"/>
      </w:pPr>
      <w:r>
        <w:rPr>
          <w:rFonts w:ascii="Times New Roman" w:hAnsi="Times New Roman" w:cs="Times New Roman" w:eastAsia="Times New Roman"/>
          <w:b/>
          <w:i w:val="0"/>
          <w:sz w:val="24"/>
        </w:rPr>
        <w:t>Sezione Prima — censimento dei documenti pervenuti</w:t>
      </w:r>
    </w:p>
    <w:p>
      <w:pPr>
        <w:spacing w:line="276" w:lineRule="auto" w:before="0" w:after="0"/>
        <w:ind w:firstLine="425"/>
        <w:jc w:val="both"/>
      </w:pPr>
      <w:r>
        <w:rPr>
          <w:rFonts w:ascii="Times New Roman" w:hAnsi="Times New Roman" w:cs="Times New Roman" w:eastAsia="Times New Roman"/>
          <w:b w:val="0"/>
          <w:i w:val="0"/>
          <w:sz w:val="24"/>
        </w:rPr>
        <w:t>I documenti pervenuti sono sette per file e cinque per contenuto, poiché due sono duplicati identici e uno è la copia migliorata di un documento già in perimetro. Se ne dà censimento in ordine di peso.</w:t>
      </w:r>
    </w:p>
    <w:p>
      <w:pPr>
        <w:spacing w:line="276" w:lineRule="auto" w:before="0" w:after="0"/>
        <w:ind w:firstLine="425"/>
        <w:jc w:val="both"/>
      </w:pPr>
      <w:r>
        <w:rPr>
          <w:rFonts w:ascii="Times New Roman" w:hAnsi="Times New Roman" w:cs="Times New Roman" w:eastAsia="Times New Roman"/>
          <w:b w:val="0"/>
          <w:i w:val="0"/>
          <w:sz w:val="24"/>
        </w:rPr>
        <w:t>Il primo è il Registro Integrale nella sua versione sessantatreesima, di un milione quattrocentodiciassettemilasettecentoventidue parole in ventiduemilanovecentoventi paragrafi. La misurazione coincide esattamente con quanto la versione sessantaseiesima aveva dichiarato nel proprio censimento di perimetro, e la coincidenza vale come collazione: l'integrità del documento è confermata per via aritmetica. La copia pervenuta è tuttavia superiore a quella già in perimetro, poiché è un documento composto secondo il formato proprio, di tre virgola sei megabyte compressi, mentre la copia già presente è testo semplice recante estensione impropria, di dieci virgola tre megabyte. Si dispone la sostituzione della copia in perimetro con quella pervenuta, restando la prima conservata quale strato archeologico ai sensi della decisione strutturale del Titanico.</w:t>
      </w:r>
    </w:p>
    <w:p>
      <w:pPr>
        <w:spacing w:line="276" w:lineRule="auto" w:before="0" w:after="0"/>
        <w:ind w:firstLine="425"/>
        <w:jc w:val="both"/>
      </w:pPr>
      <w:r>
        <w:rPr>
          <w:rFonts w:ascii="Times New Roman" w:hAnsi="Times New Roman" w:cs="Times New Roman" w:eastAsia="Times New Roman"/>
          <w:b w:val="0"/>
          <w:i w:val="0"/>
          <w:sz w:val="24"/>
        </w:rPr>
        <w:t>Il secondo è il Registro Analitico dei Nodi sul corpus di ricerca profonda dedicato ad Aginter Press e ai quadranti, edizione del quattro agosto duemilaventisei, di diecimilanovecentoquarantadue parole. Esso estrae, codifica e mette in rete i nodi, gli archi inter-dominio e i buchi strutturali emersi da sette monografie prodotte nella sessione di origine, e si articola in nove sezioni più frontespizio e chiusura: nodi-individuo, nodi-organizzazione, nodi-luogo, nodi-evento in cronologia ragionata dal millenovecentocinquantuno al duemilaventidue, archi inter-dominio, buchi strutturali, pattern emergenti, Camera Istruttoria e apparato delle fonti con statuto epistemico. È il documento di maggior peso analitico fra quelli pervenuti, ed è quello che impone la riconciliazione di cui alla Sezione Seconda.</w:t>
      </w:r>
    </w:p>
    <w:p>
      <w:pPr>
        <w:spacing w:line="276" w:lineRule="auto" w:before="0" w:after="0"/>
        <w:ind w:firstLine="425"/>
        <w:jc w:val="both"/>
      </w:pPr>
      <w:r>
        <w:rPr>
          <w:rFonts w:ascii="Times New Roman" w:hAnsi="Times New Roman" w:cs="Times New Roman" w:eastAsia="Times New Roman"/>
          <w:b w:val="0"/>
          <w:i w:val="0"/>
          <w:sz w:val="24"/>
        </w:rPr>
        <w:t>Il terzo è il Registro Analitico dei Nodi della sessione del due agosto duemilaventisei, di cinquemilasettecentotrentasei parole in ottantasette paragrafi. Esso non reca alcun identificativo proprio, né interno né federato, e va pertanto dotato prima di entrare nella federazione; l'operazione è iscritta in tavola.</w:t>
      </w:r>
    </w:p>
    <w:p>
      <w:pPr>
        <w:spacing w:line="276" w:lineRule="auto" w:before="0" w:after="0"/>
        <w:ind w:firstLine="425"/>
        <w:jc w:val="both"/>
      </w:pPr>
      <w:r>
        <w:rPr>
          <w:rFonts w:ascii="Times New Roman" w:hAnsi="Times New Roman" w:cs="Times New Roman" w:eastAsia="Times New Roman"/>
          <w:b w:val="0"/>
          <w:i w:val="0"/>
          <w:sz w:val="24"/>
        </w:rPr>
        <w:t>Il quarto, il quinto e il sesto sono le traduzioni tabellari di tre registri sul caso Moro: il Registro Genetico nella prima versione, il Registro di Scavo nella quarta e il Registro Speculare nella quinta. Tutte e tre presentano una struttura costante in tre fogli — scheda del documento, struttura gerarchica, corpo integrale in traduzione tabellare — cui si aggiungono fogli propri: i dieci cantieri del giornale di scavo e la forma della riga per il primo, le sei rotazioni, la saturazione dichiarata e il programma della settima rotazione per il secondo. Il rilievo che va registrato è che esse non sono semplici conversioni di formato: mentre il Registro Genetico è alla medesima versione già in perimetro, il Registro di Scavo perviene alla quarta versione contro la terza in perimetro e il Registro Speculare alla quinta contro la quarta. Le due tavole recano dunque le edizioni correnti di quegli strati, e come tali entrano nella federazione, con le versioni anteriori conservate a margine.</w:t>
      </w:r>
    </w:p>
    <w:p>
      <w:pPr>
        <w:spacing w:line="276" w:lineRule="auto" w:before="0" w:after="0"/>
        <w:ind w:firstLine="425"/>
        <w:jc w:val="both"/>
      </w:pPr>
      <w:r>
        <w:rPr>
          <w:rFonts w:ascii="Times New Roman" w:hAnsi="Times New Roman" w:cs="Times New Roman" w:eastAsia="Times New Roman"/>
          <w:b w:val="0"/>
          <w:i w:val="0"/>
          <w:sz w:val="24"/>
        </w:rPr>
        <w:t>Il settimo file è duplicato identico del quinto, come accerta il confronto delle impronte crittografiche, che coincidono. Se ne dispone la soppressione. È la sesta duplicazione accertata nel corpus, dopo le cinque censite dalla versione sessantasettesima: una interna al foglio degli atti giudiziari, una interna al foglio degli archivi e tre fra fogli distinti. Si conferma pertanto quanto la sessantasettesima aveva rilevato in via di procedura: la duplicazione è un carattere ricorrente della compilazione, e ogni acquisizione va sottoposta a confronto di impronta prima dell'immissione in perimetro.</w:t>
      </w:r>
    </w:p>
    <w:p>
      <w:pPr>
        <w:spacing w:line="276" w:lineRule="auto" w:before="280" w:after="120"/>
        <w:ind w:firstLine="0"/>
        <w:jc w:val="left"/>
      </w:pPr>
      <w:r>
        <w:rPr>
          <w:rFonts w:ascii="Times New Roman" w:hAnsi="Times New Roman" w:cs="Times New Roman" w:eastAsia="Times New Roman"/>
          <w:b/>
          <w:i w:val="0"/>
          <w:sz w:val="24"/>
        </w:rPr>
        <w:t>Sezione Seconda — riconciliazione delle sette serie identificative autonome</w:t>
      </w:r>
    </w:p>
    <w:p>
      <w:pPr>
        <w:spacing w:line="276" w:lineRule="auto" w:before="0" w:after="0"/>
        <w:ind w:firstLine="425"/>
        <w:jc w:val="both"/>
      </w:pPr>
      <w:r>
        <w:rPr>
          <w:rFonts w:ascii="Times New Roman" w:hAnsi="Times New Roman" w:cs="Times New Roman" w:eastAsia="Times New Roman"/>
          <w:b w:val="0"/>
          <w:i w:val="0"/>
          <w:sz w:val="24"/>
        </w:rPr>
        <w:t>Il Registro Analitico dei Nodi sul corpus Aginter reca sette serie identificative proprie, formate autonomamente e mai riconciliate con il sistema federato. Se ne dà l'estensione misurata: la serie dei nodi-individuo, contrassegnata dalla lettera N, da N-001 a N-130, per centotrenta voci distinte; la serie dei nodi-organizzazione, contrassegnata dalla lettera O, da O-001 a O-077, per settantasette voci; la serie dei nodi-luogo, contrassegnata dalla lettera L, da L-001 a L-029, per ventinove voci; la serie dei nodi-evento, contrassegnata dalla lettera E, da E-001 a E-080, per ottanta voci; la serie degli archi inter-dominio, contrassegnata dalle lettere AR, da AR-001 ad AR-027, per ventisette voci; la serie dei buchi strutturali, contrassegnata dalle lettere BS, da BS-001 a BS-010, per dieci voci; la serie della Camera Istruttoria, contrassegnata dalle lettere CI, da CI-001 a CI-012, per dodici voci. Il totale delle voci identificate è di trecentosessantacinque.</w:t>
      </w:r>
    </w:p>
    <w:p>
      <w:pPr>
        <w:spacing w:line="276" w:lineRule="auto" w:before="0" w:after="0"/>
        <w:ind w:firstLine="425"/>
        <w:jc w:val="both"/>
      </w:pPr>
      <w:r>
        <w:rPr>
          <w:rFonts w:ascii="Times New Roman" w:hAnsi="Times New Roman" w:cs="Times New Roman" w:eastAsia="Times New Roman"/>
          <w:b w:val="0"/>
          <w:i w:val="0"/>
          <w:sz w:val="24"/>
        </w:rPr>
        <w:t>La riconciliazione non si esegue per rinumerazione, che distruggerebbe la leggibilità interna del documento e violerebbe il principio di conservazione, ma per corrispondenza dichiarata. Si stabiliscono pertanto le equivalenze seguenti, che valgono come regola di transito e non come atto di aggiudicazione.</w:t>
      </w:r>
    </w:p>
    <w:p>
      <w:pPr>
        <w:spacing w:line="276" w:lineRule="auto" w:before="0" w:after="0"/>
        <w:ind w:firstLine="425"/>
        <w:jc w:val="both"/>
      </w:pPr>
      <w:r>
        <w:rPr>
          <w:rFonts w:ascii="Times New Roman" w:hAnsi="Times New Roman" w:cs="Times New Roman" w:eastAsia="Times New Roman"/>
          <w:b w:val="0"/>
          <w:i w:val="0"/>
          <w:sz w:val="24"/>
        </w:rPr>
        <w:t>Le serie N, O, L ed E, che complessivamente contano trecentosedici voci fra individui, organizzazioni, luoghi ed eventi, corrispondono allo Strato Secondo della federazione, quello dei nodi, e transitano verso la serie ND. Poiché la serie federata è giunta a ND-0046 con la versione sessantasettesima, e poiché il transito di trecentosedici voci in un solo atto eccederebbe la capacità istruttoria di una singola sessione, si dispone che la corrispondenza sia dichiarata per blocco e che l'assegnazione individuale degli identificativi ND avvenga per tranche successive, secondo il modello già adottato per il censimento per singola voce dei blocchi documentali. Si istituisce a tal fine il blocco ND-BLOCCO-AGINTER, che designa collettivamente le trecentosedici voci e ne consente il richiamo prima dell'assegnazione individuale. La prima tranche è iscritta in tavola.</w:t>
      </w:r>
    </w:p>
    <w:p>
      <w:pPr>
        <w:spacing w:line="276" w:lineRule="auto" w:before="0" w:after="0"/>
        <w:ind w:firstLine="425"/>
        <w:jc w:val="both"/>
      </w:pPr>
      <w:r>
        <w:rPr>
          <w:rFonts w:ascii="Times New Roman" w:hAnsi="Times New Roman" w:cs="Times New Roman" w:eastAsia="Times New Roman"/>
          <w:b w:val="0"/>
          <w:i w:val="0"/>
          <w:sz w:val="24"/>
        </w:rPr>
        <w:t>La serie AR, degli archi inter-dominio, non corrisponde allo Strato Secondo ma allo Strato Terzo, quello delle asserzioni e degli archi. Le sue ventisette voci descrivono relazioni fra domini e non entità, e come tali sono candidate al transito verso la serie AS, con la precisazione che ciascuna dovrà passare per la Camera Istruttoria con verbale proprio prima di essere aggiudicata, poiché un arco iscritto in un registro di sessione non è per ciò stesso un'asserzione federata. Se ne dichiarano titolo e materia per consentirne il richiamo: la committenza della polizia politica portoghese verso Aginter; la copertura maoista degli operativi; l'eliminazione di Mondlane; l'infiltrazione della congiura contro Cabral; il finanziamento pre-strage attraverso il canale svizzero; la fornitura di armi per il tramite della rete Skorzeny-Merex verso la Bolivia; la piattaforma della lega anticomunista mondiale e della sua sezione latinoamericana; la filiera fra Taipei, l'accademia di Fu Hsing Kang e gli squadroni latinoamericani; la creazione di guerriglia per procura verso la RENAMO; il finanziamento dei mercenari nello Yemen da parte delle monarchie del Golfo; il concerto di intelligence del Safari Club; l'embargo verso il Portogallo; e le altre fino ad AR-027.</w:t>
      </w:r>
    </w:p>
    <w:p>
      <w:pPr>
        <w:spacing w:line="276" w:lineRule="auto" w:before="0" w:after="0"/>
        <w:ind w:firstLine="425"/>
        <w:jc w:val="both"/>
      </w:pPr>
      <w:r>
        <w:rPr>
          <w:rFonts w:ascii="Times New Roman" w:hAnsi="Times New Roman" w:cs="Times New Roman" w:eastAsia="Times New Roman"/>
          <w:b w:val="0"/>
          <w:i w:val="0"/>
          <w:sz w:val="24"/>
        </w:rPr>
        <w:t>La serie BS, dei buchi strutturali, corrisponde allo Strato Quarto, quello della diagnostica, e transita verso il Registro degli Esiti Negativi. Questa è la corrispondenza più importante dell'intera riconciliazione, e merita enunciazione distinta: le dieci voci della serie non sono lacune da colmare ma accertamenti negativi già stabiliti, e come tali sono fatti di pieno statuto ai sensi della regola per cui l'assenza di prova, quando è il risultato di una ricerca condotta, è essa stessa un risultato. Esse accertano: l'inesistenza di una connessione fra Aginter e il quadrante del Golfo; l'assenza di rapporti diretti con il quadrante asiatico-pacifico; l'assenza di un rapporto diretto con Taiwan; l'assenza di intersezione operativa fra Aginter e Hyperion; la divergenza di orientamento fra Genoud e le monarchie del Golfo; l'assenza di delegazione sudafricana ai vertici della sezione latinoamericana; lo smontaggio dell'equazione secondo cui Aginter coinciderebbe con la rete stay-behind; l'assenza di rotte della cocaina fra Bolivia e Africa australe; l'assenza di contatto fra Aginter e la struttura clandestina svizzera; e l'inesistenza di un referente unico di Hyperion.</w:t>
      </w:r>
    </w:p>
    <w:p>
      <w:pPr>
        <w:spacing w:line="276" w:lineRule="auto" w:before="0" w:after="0"/>
        <w:ind w:firstLine="425"/>
        <w:jc w:val="both"/>
      </w:pPr>
      <w:r>
        <w:rPr>
          <w:rFonts w:ascii="Times New Roman" w:hAnsi="Times New Roman" w:cs="Times New Roman" w:eastAsia="Times New Roman"/>
          <w:b w:val="0"/>
          <w:i w:val="0"/>
          <w:sz w:val="24"/>
        </w:rPr>
        <w:t>Su una di queste voci si richiama espressamente l'attenzione dell'autore, poiché essa incide su una fonte che il Repertorio censisce e che il perimetro conserva. Lo smontaggio dell'equazione fra Aginter e la rete stay-behind, iscritto come BS-007, contraddice una tesi sostenuta nella monografia sulle armate segrete della NATO, presente nel perimetro documentale dell'opera. Non si dispone in questa sede alcuna aggiudicazione fra le due posizioni; si dispone che la questione transiti per la Camera Istruttoria con verbale proprio e che, fino alla decisione, entrambe le posizioni siano recate con **statuto conteso**, secondo la disciplina già applicata al memorandum del millenovecentosessantadue sul progetto mai eseguito.</w:t>
      </w:r>
    </w:p>
    <w:p>
      <w:pPr>
        <w:spacing w:line="276" w:lineRule="auto" w:before="0" w:after="0"/>
        <w:ind w:firstLine="425"/>
        <w:jc w:val="both"/>
      </w:pPr>
      <w:r>
        <w:rPr>
          <w:rFonts w:ascii="Times New Roman" w:hAnsi="Times New Roman" w:cs="Times New Roman" w:eastAsia="Times New Roman"/>
          <w:b w:val="0"/>
          <w:i w:val="0"/>
          <w:sz w:val="24"/>
        </w:rPr>
        <w:t>La serie CI, della Camera Istruttoria, corrisponde allo Strato Quinto e transita verso la serie VT dei verbali di transito. Le sue dodici voci sono piste aperte con soglie di scioglimento dichiarate, e come tali non entrano nella federazione quali accertamenti ma quali voci di tavola. Se ne dichiarano le materie: il testo originale del rapporto dell'ufficio centrale investigativo del millenovecentosettantotto-settantanove su Hyperion; la pista Suharto; il nesso Genoud-Aginter; l'esito delle transazioni dell'ottobre millenovecentottanta; i delegati del Pacifico ai congressi della lega; i bollettini di Aginter sull'Asia nella loro integralità; gli istruttori ex-Aginter presso il fronte angolano; il consolidamento dell'attribuzione dell'eliminazione di Mondlane sui fondi dell'archivio nazionale portoghese; il rapporto fra Aginter e la struttura clandestina svizzera; i cinque Stati mancanti del riconoscimento al regime boliviano; il nesso Palazzolo-Bolivia; l'identità operativa svizzera di Aginter.</w:t>
      </w:r>
    </w:p>
    <w:p>
      <w:pPr>
        <w:spacing w:line="276" w:lineRule="auto" w:before="0" w:after="0"/>
        <w:ind w:firstLine="425"/>
        <w:jc w:val="both"/>
      </w:pPr>
      <w:r>
        <w:rPr>
          <w:rFonts w:ascii="Times New Roman" w:hAnsi="Times New Roman" w:cs="Times New Roman" w:eastAsia="Times New Roman"/>
          <w:b w:val="0"/>
          <w:i w:val="0"/>
          <w:sz w:val="24"/>
        </w:rPr>
        <w:t>Si registra infine la Sezione Settima del documento pervenuto, dedicata ai pattern emergenti, che identifica quali nodi ad alta intermediazione Guérin-Sérac, Delle Chiaie, Ku Cheng-kang, Gelli, Genoud, Skorzeny, Foccart e Moretti, osservando che si tratta dei nodi la cui rimozione disconnetterebbe interi sotto-grafi e che per più d'uno l'alta visibilità coincide con la vulnerabilità giudiziaria. L'osservazione corrisponde al Pattern Primo dell'apparato dell'opera e ne costituisce applicazione. Il documento identifica inoltre un isomorfismo strutturale fra Aginter e Hyperion — copertura civile, capitale europea di respiro internazionale, nucleo ristretto — che corrisponde al Pattern Undicesimo e che va letto congiuntamente con l'accertamento negativo BS-004, il quale esclude fra le due strutture ogni intersezione operativa. La coesistenza di isomorfismo strutturale e assenza di contatto è, per il metodo dell'opera, il caso che discrimina fra origine comune e convergenza indipendente, e va iscritta come tale.</w:t>
      </w:r>
    </w:p>
    <w:p>
      <w:pPr>
        <w:spacing w:line="276" w:lineRule="auto" w:before="280" w:after="120"/>
        <w:ind w:firstLine="0"/>
        <w:jc w:val="left"/>
      </w:pPr>
      <w:r>
        <w:rPr>
          <w:rFonts w:ascii="Times New Roman" w:hAnsi="Times New Roman" w:cs="Times New Roman" w:eastAsia="Times New Roman"/>
          <w:b/>
          <w:i w:val="0"/>
          <w:sz w:val="24"/>
        </w:rPr>
        <w:t>Sezione Terza — scioglimento della lacuna toponomastica Hyperion</w:t>
      </w:r>
    </w:p>
    <w:p>
      <w:pPr>
        <w:spacing w:line="276" w:lineRule="auto" w:before="0" w:after="0"/>
        <w:ind w:firstLine="425"/>
        <w:jc w:val="both"/>
      </w:pPr>
      <w:r>
        <w:rPr>
          <w:rFonts w:ascii="Times New Roman" w:hAnsi="Times New Roman" w:cs="Times New Roman" w:eastAsia="Times New Roman"/>
          <w:b w:val="0"/>
          <w:i w:val="0"/>
          <w:sz w:val="24"/>
        </w:rPr>
        <w:t>La tavola delle lacune reca da più versioni, nel gruppo secondo dedicato al caso Moro, l'emenda toponomastica Hyperion, con la distinzione fra la sede parigina del lungosenna e l'eventuale recapito romano e con datazione da verificare sugli atti. La versione sessantaseiesima l'aveva confermata aperta, accertando la persistenza dell'indicazione errata nel corpo del Registro Integrale. La versione sessantasettesima l'aveva confermata aperta e vi aveva affiancato una seconda emenda toponomastica di natura analoga.</w:t>
      </w:r>
    </w:p>
    <w:p>
      <w:pPr>
        <w:spacing w:line="276" w:lineRule="auto" w:before="0" w:after="0"/>
        <w:ind w:firstLine="425"/>
        <w:jc w:val="both"/>
      </w:pPr>
      <w:r>
        <w:rPr>
          <w:rFonts w:ascii="Times New Roman" w:hAnsi="Times New Roman" w:cs="Times New Roman" w:eastAsia="Times New Roman"/>
          <w:b w:val="0"/>
          <w:i w:val="0"/>
          <w:sz w:val="24"/>
        </w:rPr>
        <w:t>Il documento pervenuto la scioglie. Esso reca alla voce L-003 la dizione «Parigi, ventisette Quai de la Tournelle», qualificata come sede di Hyperion, con l'attribuzione alla settima delle monografie di origine. Reca inoltre alla voce L-004 le sedi italiane, distinte dalla parigina e correttamente qualificate come filiali: Milano in via Francesco Albani trentatré, Roma in via Nicotera ventisei e in Viale Angelico. Reca infine la datazione richiesta dalla tavola: le tre filiali furono aperte fra il giugno millenovecentosettantasette e il giugno millenovecentosettantotto e chiuse dopo il sequestro.</w:t>
      </w:r>
    </w:p>
    <w:p>
      <w:pPr>
        <w:spacing w:line="276" w:lineRule="auto" w:before="0" w:after="0"/>
        <w:ind w:firstLine="425"/>
        <w:jc w:val="both"/>
      </w:pPr>
      <w:r>
        <w:rPr>
          <w:rFonts w:ascii="Times New Roman" w:hAnsi="Times New Roman" w:cs="Times New Roman" w:eastAsia="Times New Roman"/>
          <w:b w:val="0"/>
          <w:i w:val="0"/>
          <w:sz w:val="24"/>
        </w:rPr>
        <w:t>Lo scioglimento è dunque triplice e corrisponde punto per punto alle condizioni che la tavola poneva. È accertata la sede parigina nella forma corretta; è risolta la distinzione fra sede e recapiti, che risultano essere filiali e non recapiti alternativi; è fornita la datazione. Si iscrive pertanto l'asserzione AS-0037: la sede di Hyperion è in Parigi, ventisette Quai de la Tournelle, e le tre sedi italiane sono filiali aperte fra il giugno millenovecentosettantasette e il giugno millenovecentosettantotto. Grado **Livello B**, per fonte monografica interna al corpus con attribuzione dichiarata, in attesa del riscontro documentale esterno che ne eleverebbe il grado. Si dispone che l'emenda sia apportata al corpo del Registro Integrale e a ogni altra sede in cui il toponimo compaia, e che la lacuna sia dichiarata chiusa nel gruppo secondo della tavola.</w:t>
      </w:r>
    </w:p>
    <w:p>
      <w:pPr>
        <w:spacing w:line="276" w:lineRule="auto" w:before="0" w:after="0"/>
        <w:ind w:firstLine="425"/>
        <w:jc w:val="both"/>
      </w:pPr>
      <w:r>
        <w:rPr>
          <w:rFonts w:ascii="Times New Roman" w:hAnsi="Times New Roman" w:cs="Times New Roman" w:eastAsia="Times New Roman"/>
          <w:b w:val="0"/>
          <w:i w:val="0"/>
          <w:sz w:val="24"/>
        </w:rPr>
        <w:t>Si redige il verbale VT-0022, recante lo scioglimento della lacuna toponomastica, la corrispondenza fra le condizioni poste dalla tavola e gli elementi accertati, e la disposizione di emenda.</w:t>
      </w:r>
    </w:p>
    <w:p>
      <w:pPr>
        <w:spacing w:line="276" w:lineRule="auto" w:before="280" w:after="120"/>
        <w:ind w:firstLine="0"/>
        <w:jc w:val="left"/>
      </w:pPr>
      <w:r>
        <w:rPr>
          <w:rFonts w:ascii="Times New Roman" w:hAnsi="Times New Roman" w:cs="Times New Roman" w:eastAsia="Times New Roman"/>
          <w:b/>
          <w:i w:val="0"/>
          <w:sz w:val="24"/>
        </w:rPr>
        <w:t>Sezione Quarta — aggiornamento della tavola e degli identificativi</w:t>
      </w:r>
    </w:p>
    <w:p>
      <w:pPr>
        <w:spacing w:line="276" w:lineRule="auto" w:before="0" w:after="0"/>
        <w:ind w:firstLine="425"/>
        <w:jc w:val="both"/>
      </w:pPr>
      <w:r>
        <w:rPr>
          <w:rFonts w:ascii="Times New Roman" w:hAnsi="Times New Roman" w:cs="Times New Roman" w:eastAsia="Times New Roman"/>
          <w:b w:val="0"/>
          <w:i w:val="0"/>
          <w:sz w:val="24"/>
        </w:rPr>
        <w:t>La tavola delle lacune consolidata dalla versione sessantasettesima si aggiorna come segue. Si chiude, nel gruppo secondo, l'emenda toponomastica Hyperion, per lo scioglimento di cui alla Sezione Terza; resta aperta, nel medesimo gruppo, la seconda emenda toponomastica relativa alla base romana scoperta dalla seconda commissione. Si chiude, nel gruppo primo, la questione della copia difettosa del Registro Integrale, per effetto della sostituzione disposta.</w:t>
      </w:r>
    </w:p>
    <w:p>
      <w:pPr>
        <w:spacing w:line="276" w:lineRule="auto" w:before="0" w:after="0"/>
        <w:ind w:firstLine="425"/>
        <w:jc w:val="both"/>
      </w:pPr>
      <w:r>
        <w:rPr>
          <w:rFonts w:ascii="Times New Roman" w:hAnsi="Times New Roman" w:cs="Times New Roman" w:eastAsia="Times New Roman"/>
          <w:b w:val="0"/>
          <w:i w:val="0"/>
          <w:sz w:val="24"/>
        </w:rPr>
        <w:t>Si istituiscono cinque voci nuove. Prima, l'assegnazione per tranche degli identificativi ND alle trecentosedici voci del blocco Aginter, con precedenza ai nodi-individuo e ai nodi-organizzazione, che sono quelli suscettibili di generare archi. Seconda, il transito per la Camera Istruttoria delle ventisette voci della serie AR, con verbale per ciascuna, prima di ogni aggiudicazione. Terza, l'incorporazione delle dieci voci della serie BS nel Registro degli Esiti Negativi, che è operazione di sola trascrizione poiché quelle voci sono già accertamenti. Quarta, la decisione sullo statuto conteso relativo all'equazione fra Aginter e la rete stay-behind, che oppone il documento pervenuto a una monografia in perimetro. Quinta, la dotazione di identificativi al Registro Analitico dei Nodi della sessione del due agosto, che ne è privo.</w:t>
      </w:r>
    </w:p>
    <w:p>
      <w:pPr>
        <w:spacing w:line="276" w:lineRule="auto" w:before="0" w:after="0"/>
        <w:ind w:firstLine="425"/>
        <w:jc w:val="both"/>
      </w:pPr>
      <w:r>
        <w:rPr>
          <w:rFonts w:ascii="Times New Roman" w:hAnsi="Times New Roman" w:cs="Times New Roman" w:eastAsia="Times New Roman"/>
          <w:b w:val="0"/>
          <w:i w:val="0"/>
          <w:sz w:val="24"/>
        </w:rPr>
        <w:t>Sistema degli identificativi stabili, elenco aggiornato al presente atto. Asserzioni: da AS-0001 ad AS-0036 come dalla versione sessantasettesima; AS-0037, sede parigina di Hyperion e datazione delle filiali italiane. Verbali di transito: da VT-0001 a VT-0021 come dalla versione sessantasettesima; VT-0022, scioglimento della lacuna toponomastica. Nodi: da ND-0001 a ND-0046 come dalla versione sessantasettesima; si istituisce il blocco ND-BLOCCO-AGINTER per le trecentosedici voci delle serie N, O, L ed E, con assegnazione individuale per tranche successive. Fonti: da FO-0001 a FO-0228 come dalla versione sessantasettesima; FO-0229, corpus di ricerca profonda su Aginter Press e i quadranti in sette monografie, con il Registro Analitico dei Nodi che lo codifica; FO-0230, traduzioni tabellari dei tre registri sul caso Moro nelle edizioni correnti. Condotte: da CD-0001 a CD-0016, mappa invariata. Segnali diagnostici: invariati.</w:t>
      </w:r>
    </w:p>
    <w:p>
      <w:pPr>
        <w:spacing w:line="276" w:lineRule="auto" w:before="280" w:after="120"/>
        <w:ind w:firstLine="0"/>
        <w:jc w:val="left"/>
      </w:pPr>
      <w:r>
        <w:rPr>
          <w:rFonts w:ascii="Times New Roman" w:hAnsi="Times New Roman" w:cs="Times New Roman" w:eastAsia="Times New Roman"/>
          <w:b/>
          <w:i w:val="0"/>
          <w:sz w:val="24"/>
        </w:rPr>
        <w:t>Colophon</w:t>
      </w:r>
    </w:p>
    <w:p>
      <w:pPr>
        <w:spacing w:line="276" w:lineRule="auto" w:before="0" w:after="0"/>
        <w:ind w:firstLine="425"/>
        <w:jc w:val="both"/>
      </w:pPr>
      <w:r>
        <w:rPr>
          <w:rFonts w:ascii="Times New Roman" w:hAnsi="Times New Roman" w:cs="Times New Roman" w:eastAsia="Times New Roman"/>
          <w:b w:val="0"/>
          <w:i w:val="0"/>
          <w:sz w:val="24"/>
        </w:rPr>
        <w:t>Il presente Atto di ricezione integrativo alla versione sessantasettesima dell'opera ITALIA NERA è promulgato il sei agosto duemilaventisei e si allega alla sessantasettesima senza modificarne il corpo, ai sensi del principio di conservazione cumulativa. Esso censisce cinque documenti distinti su sette file pervenuti, conferma per collazione aritmetica l'integrità del Registro Integrale e ne dispone la sostituzione con la copia di formato proprio, accerta e sopprime la sesta duplicazione del corpus, riconosce alle due tavole del caso Moro lo statuto di edizioni correnti dei rispettivi strati, riconcilia per corrispondenza dichiarata sette serie identificative autonome per complessive trecentosessantacinque voci, iscrive dieci accertamenti negativi nella diagnostica, apre uno statuto conteso su una tesi sostenuta da una fonte in perimetro, scioglie la lacuna toponomastica Hyperion aperta da più versioni portando le asserzioni a trentasette e i verbali a ventidue, e istituisce cinque voci nuove di tavola. Resta sovrana la Regola di Ferro: dove la fonte documenta, l'opera certifica; dove la fonte tace, l'opera indaga e non afferma.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