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120"/>
        <w:ind w:firstLine="0"/>
        <w:jc w:val="center"/>
      </w:pPr>
      <w:r>
        <w:rPr>
          <w:rFonts w:ascii="Times New Roman" w:hAnsi="Times New Roman" w:cs="Times New Roman" w:eastAsia="Times New Roman"/>
          <w:b/>
          <w:sz w:val="24"/>
        </w:rPr>
        <w:t>ITALIA NERA</w:t>
      </w:r>
    </w:p>
    <w:p>
      <w:pPr>
        <w:spacing w:line="276" w:lineRule="auto" w:after="120" w:before="120"/>
        <w:ind w:firstLine="0"/>
        <w:jc w:val="center"/>
      </w:pPr>
      <w:r>
        <w:rPr>
          <w:rFonts w:ascii="Times New Roman" w:hAnsi="Times New Roman" w:cs="Times New Roman" w:eastAsia="Times New Roman"/>
          <w:b/>
          <w:sz w:val="24"/>
        </w:rPr>
        <w:t>REGISTRO ANALITICO DEI NODI</w:t>
      </w:r>
    </w:p>
    <w:p>
      <w:pPr>
        <w:spacing w:line="276" w:lineRule="auto" w:after="120" w:before="120"/>
        <w:ind w:firstLine="0"/>
        <w:jc w:val="center"/>
      </w:pPr>
      <w:r>
        <w:rPr>
          <w:rFonts w:ascii="Times New Roman" w:hAnsi="Times New Roman" w:cs="Times New Roman" w:eastAsia="Times New Roman"/>
          <w:b w:val="0"/>
          <w:sz w:val="24"/>
        </w:rPr>
        <w:t>Corpus dei cinque documenti estratti — SIFAR millenovecentocinquantanove, Journal of Strategic Security, Alambique</w:t>
      </w:r>
    </w:p>
    <w:p>
      <w:pPr>
        <w:spacing w:line="276" w:lineRule="auto" w:after="120" w:before="120"/>
        <w:ind w:firstLine="0"/>
        <w:jc w:val="center"/>
      </w:pPr>
      <w:r>
        <w:rPr>
          <w:rFonts w:ascii="Times New Roman" w:hAnsi="Times New Roman" w:cs="Times New Roman" w:eastAsia="Times New Roman"/>
          <w:b w:val="0"/>
          <w:sz w:val="24"/>
        </w:rPr>
        <w:t>Metodologia Normaviva Beta nella Forma dell'Iceberg — Sistema Savona</w:t>
      </w:r>
    </w:p>
    <w:p>
      <w:pPr>
        <w:spacing w:line="276" w:lineRule="auto" w:after="120" w:before="120"/>
        <w:ind w:firstLine="0"/>
        <w:jc w:val="center"/>
      </w:pPr>
      <w:r>
        <w:rPr>
          <w:rFonts w:ascii="Times New Roman" w:hAnsi="Times New Roman" w:cs="Times New Roman" w:eastAsia="Times New Roman"/>
          <w:b/>
          <w:sz w:val="24"/>
        </w:rPr>
        <w:t>Luigi De Michele</w:t>
      </w:r>
    </w:p>
    <w:p>
      <w:pPr>
        <w:spacing w:line="276" w:lineRule="auto" w:after="120" w:before="120"/>
        <w:ind w:firstLine="0"/>
        <w:jc w:val="center"/>
      </w:pPr>
      <w:r>
        <w:rPr>
          <w:rFonts w:ascii="Times New Roman" w:hAnsi="Times New Roman" w:cs="Times New Roman" w:eastAsia="Times New Roman"/>
          <w:b w:val="0"/>
          <w:sz w:val="24"/>
        </w:rPr>
        <w:t>Due agosto duemilaventisei</w:t>
      </w:r>
    </w:p>
    <w:p>
      <w:pPr>
        <w:spacing w:line="276" w:lineRule="auto" w:after="80" w:before="200"/>
        <w:ind w:firstLine="0"/>
        <w:jc w:val="both"/>
      </w:pPr>
      <w:r>
        <w:rPr>
          <w:rFonts w:ascii="Times New Roman" w:hAnsi="Times New Roman" w:cs="Times New Roman" w:eastAsia="Times New Roman"/>
          <w:b/>
          <w:sz w:val="24"/>
        </w:rPr>
        <w:t>STATUTO DEL REGISTRO</w:t>
      </w:r>
    </w:p>
    <w:p>
      <w:pPr>
        <w:spacing w:line="276" w:lineRule="auto" w:after="60" w:before="0"/>
        <w:ind w:firstLine="425"/>
        <w:jc w:val="both"/>
      </w:pPr>
      <w:r>
        <w:rPr>
          <w:rFonts w:ascii="Times New Roman" w:hAnsi="Times New Roman" w:cs="Times New Roman" w:eastAsia="Times New Roman"/>
          <w:b/>
          <w:sz w:val="24"/>
        </w:rPr>
        <w:t>Oggetto e perimetro.</w:t>
      </w:r>
      <w:r>
        <w:rPr>
          <w:rFonts w:ascii="Times New Roman" w:hAnsi="Times New Roman" w:cs="Times New Roman" w:eastAsia="Times New Roman"/>
          <w:b w:val="0"/>
          <w:sz w:val="24"/>
        </w:rPr>
        <w:t xml:space="preserve"> Il presente registro censisce i nodi e gli archi attestati nei cinque documenti estratti integralmente in questa sessione e nulla oltre essi. Ogni voce risale a un luogo determinato di uno dei cinque testi; nessuna voce importa attestazioni da altri registri dell'opera, e le convergenze con il corpus preesistente si segnalano come convergenze da verificare e mai come conferme acquisite. Vale la regola che l'opera porta scolpita: i prodotti del lavoro non sono fonti del lavoro, e questo registro non potrà essere citato come fonte primaria di ciò che esso stesso asserisce.</w:t>
      </w:r>
    </w:p>
    <w:p>
      <w:pPr>
        <w:spacing w:line="276" w:lineRule="auto" w:after="60" w:before="0"/>
        <w:ind w:firstLine="425"/>
        <w:jc w:val="both"/>
      </w:pPr>
      <w:r>
        <w:rPr>
          <w:rFonts w:ascii="Times New Roman" w:hAnsi="Times New Roman" w:cs="Times New Roman" w:eastAsia="Times New Roman"/>
          <w:b/>
          <w:sz w:val="24"/>
        </w:rPr>
        <w:t>Le fonti e il loro grado.</w:t>
      </w:r>
      <w:r>
        <w:rPr>
          <w:rFonts w:ascii="Times New Roman" w:hAnsi="Times New Roman" w:cs="Times New Roman" w:eastAsia="Times New Roman"/>
          <w:b w:val="0"/>
          <w:sz w:val="24"/>
        </w:rPr>
        <w:t xml:space="preserve"> Il corpus consta di cinque unità di natura diversa, e la differenza governa l'intera classificazione che segue. La prima è </w:t>
      </w:r>
      <w:r>
        <w:rPr>
          <w:rFonts w:ascii="Times New Roman" w:hAnsi="Times New Roman" w:cs="Times New Roman" w:eastAsia="Times New Roman"/>
          <w:b/>
          <w:sz w:val="24"/>
        </w:rPr>
        <w:t>fonte primaria d'archivio</w:t>
      </w:r>
      <w:r>
        <w:rPr>
          <w:rFonts w:ascii="Times New Roman" w:hAnsi="Times New Roman" w:cs="Times New Roman" w:eastAsia="Times New Roman"/>
          <w:b w:val="0"/>
          <w:sz w:val="24"/>
        </w:rPr>
        <w:t xml:space="preserve">: il rapporto dello Stato Maggiore della Difesa, Servizio Informazioni delle Forze Armate, Ufficio «R», Sezione «SAD», datato Roma primo giugno millenovecentocinquantanove, tredici carte, trascritte per lettura visiva diretta; è documento autoprodotto dall'apparato che descrive, e come tale appartiene al polo della prova nella sua forma più forte. La seconda e la terza sono </w:t>
      </w:r>
      <w:r>
        <w:rPr>
          <w:rFonts w:ascii="Times New Roman" w:hAnsi="Times New Roman" w:cs="Times New Roman" w:eastAsia="Times New Roman"/>
          <w:b/>
          <w:sz w:val="24"/>
        </w:rPr>
        <w:t>fonti secondarie accademiche</w:t>
      </w:r>
      <w:r>
        <w:rPr>
          <w:rFonts w:ascii="Times New Roman" w:hAnsi="Times New Roman" w:cs="Times New Roman" w:eastAsia="Times New Roman"/>
          <w:b w:val="0"/>
          <w:sz w:val="24"/>
        </w:rPr>
        <w:t xml:space="preserve"> con apparato risalibile: Jacome Jaramillo sui natanti sommergibili delle FARC, duemilasedici, ottantasei note; Sullivan sull'età dell'informazione e i mercati illeciti, duemilaventitré, novantatré note. La quarta è </w:t>
      </w:r>
      <w:r>
        <w:rPr>
          <w:rFonts w:ascii="Times New Roman" w:hAnsi="Times New Roman" w:cs="Times New Roman" w:eastAsia="Times New Roman"/>
          <w:b/>
          <w:sz w:val="24"/>
        </w:rPr>
        <w:t>fonte di critica letteraria</w:t>
      </w:r>
      <w:r>
        <w:rPr>
          <w:rFonts w:ascii="Times New Roman" w:hAnsi="Times New Roman" w:cs="Times New Roman" w:eastAsia="Times New Roman"/>
          <w:b w:val="0"/>
          <w:sz w:val="24"/>
        </w:rPr>
        <w:t xml:space="preserve">, Ginway, duemilaventi, quarantaquattro voci bibliografiche, le cui asserzioni storico-politiche sono di secondo grado. La quinta è </w:t>
      </w:r>
      <w:r>
        <w:rPr>
          <w:rFonts w:ascii="Times New Roman" w:hAnsi="Times New Roman" w:cs="Times New Roman" w:eastAsia="Times New Roman"/>
          <w:b/>
          <w:sz w:val="24"/>
        </w:rPr>
        <w:t>fonte terziaria compilativa</w:t>
      </w:r>
      <w:r>
        <w:rPr>
          <w:rFonts w:ascii="Times New Roman" w:hAnsi="Times New Roman" w:cs="Times New Roman" w:eastAsia="Times New Roman"/>
          <w:b w:val="0"/>
          <w:sz w:val="24"/>
        </w:rPr>
        <w:t>: Sundquist sulle Brigate Rosse, duemiladieci, ventisette riferimenti, di autore militare e non storiografico, recante imprecisioni fattuali verificabili che il presente registro censisce nella Parte quinta e che ne determinano la marcatura di contaminazione. Nessun nodo riceve grado superiore a quello che la sua fonte consente.</w:t>
      </w:r>
    </w:p>
    <w:p>
      <w:pPr>
        <w:spacing w:line="276" w:lineRule="auto" w:after="60" w:before="0"/>
        <w:ind w:firstLine="425"/>
        <w:jc w:val="both"/>
      </w:pPr>
      <w:r>
        <w:rPr>
          <w:rFonts w:ascii="Times New Roman" w:hAnsi="Times New Roman" w:cs="Times New Roman" w:eastAsia="Times New Roman"/>
          <w:b/>
          <w:sz w:val="24"/>
        </w:rPr>
        <w:t>Le clausole.</w:t>
      </w:r>
      <w:r>
        <w:rPr>
          <w:rFonts w:ascii="Times New Roman" w:hAnsi="Times New Roman" w:cs="Times New Roman" w:eastAsia="Times New Roman"/>
          <w:b w:val="0"/>
          <w:sz w:val="24"/>
        </w:rPr>
        <w:t xml:space="preserve"> Vale su ogni riga la prima clausola di disciplina: le categorie analitiche si predicano di documenti, archivi e sistemi documentali, mai di persone. Vale il vincolo sugli uffici: la centralità documentale di un ufficio o di una funzione non è condotta di chi li resse. Vale il divieto dell'attore monolitico: nessuna organizzazione qui censita — Servizio, formazione, cartello, partito — è trattata come attore unitario, e ogni sua articolazione interna documentata è registrata come tale. Vale infine la Regola di Ferro: dove la fonte documenta, l'opera certifica; dove la fonte tace, l'opera indaga e non afferma.</w:t>
      </w:r>
    </w:p>
    <w:p>
      <w:pPr>
        <w:spacing w:line="276" w:lineRule="auto" w:after="80" w:before="200"/>
        <w:ind w:firstLine="0"/>
        <w:jc w:val="both"/>
      </w:pPr>
      <w:r>
        <w:rPr>
          <w:rFonts w:ascii="Times New Roman" w:hAnsi="Times New Roman" w:cs="Times New Roman" w:eastAsia="Times New Roman"/>
          <w:b/>
          <w:sz w:val="24"/>
        </w:rPr>
        <w:t>PARTE PRIMA — I NODI DEL DOCUMENTO PRIMARIO</w:t>
      </w:r>
    </w:p>
    <w:p>
      <w:pPr>
        <w:spacing w:line="276" w:lineRule="auto" w:after="60" w:before="0"/>
        <w:ind w:firstLine="425"/>
        <w:jc w:val="both"/>
      </w:pPr>
      <w:r>
        <w:rPr>
          <w:rFonts w:ascii="Times New Roman" w:hAnsi="Times New Roman" w:cs="Times New Roman" w:eastAsia="Times New Roman"/>
          <w:b/>
          <w:sz w:val="24"/>
        </w:rPr>
        <w:t>Il Dominio terzo: intelligence e servizi.</w:t>
      </w:r>
      <w:r>
        <w:rPr>
          <w:rFonts w:ascii="Times New Roman" w:hAnsi="Times New Roman" w:cs="Times New Roman" w:eastAsia="Times New Roman"/>
          <w:b w:val="0"/>
          <w:sz w:val="24"/>
        </w:rPr>
        <w:t xml:space="preserve"> Il rapporto del cinquantanove attesta, con undici occorrenze del nome, il </w:t>
      </w:r>
      <w:r>
        <w:rPr>
          <w:rFonts w:ascii="Times New Roman" w:hAnsi="Times New Roman" w:cs="Times New Roman" w:eastAsia="Times New Roman"/>
          <w:b/>
          <w:sz w:val="24"/>
        </w:rPr>
        <w:t>SIFAR</w:t>
      </w:r>
      <w:r>
        <w:rPr>
          <w:rFonts w:ascii="Times New Roman" w:hAnsi="Times New Roman" w:cs="Times New Roman" w:eastAsia="Times New Roman"/>
          <w:b w:val="0"/>
          <w:sz w:val="24"/>
        </w:rPr>
        <w:t xml:space="preserve"> quale Servizio Informazioni delle Forze Armate, e ne individua l'articolazione interna in </w:t>
      </w:r>
      <w:r>
        <w:rPr>
          <w:rFonts w:ascii="Times New Roman" w:hAnsi="Times New Roman" w:cs="Times New Roman" w:eastAsia="Times New Roman"/>
          <w:b/>
          <w:sz w:val="24"/>
        </w:rPr>
        <w:t>Ufficio «R»</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Sezione «SAD»</w:t>
      </w:r>
      <w:r>
        <w:rPr>
          <w:rFonts w:ascii="Times New Roman" w:hAnsi="Times New Roman" w:cs="Times New Roman" w:eastAsia="Times New Roman"/>
          <w:b w:val="0"/>
          <w:sz w:val="24"/>
        </w:rPr>
        <w:t xml:space="preserve">, quest'ultima con nove occorrenze e con data di costituzione dichiarata al primo ottobre millenovecentocinquantasei e compito indicativo testualmente riportato: studi speciali e addestramenti di personale per particolari esigenze.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all'esistenza, alla data e al tenore, poiché il documento è autoprodotto e la formulazione è testuale. La Sezione risulta articolata in Capo Sezione con funzione di coordinatore, quattro gruppi funzionali — organizzazione generale, organizzazioni speciali, tecnica e trasmissioni, attività aerea — e un Centro Addestramento Guastatori con sette occorrenze; l'articolazione è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in quanto descritta dall'apparato medesimo. Il </w:t>
      </w:r>
      <w:r>
        <w:rPr>
          <w:rFonts w:ascii="Times New Roman" w:hAnsi="Times New Roman" w:cs="Times New Roman" w:eastAsia="Times New Roman"/>
          <w:b/>
          <w:sz w:val="24"/>
        </w:rPr>
        <w:t>Servizio Informazioni U.S.A.</w:t>
      </w:r>
      <w:r>
        <w:rPr>
          <w:rFonts w:ascii="Times New Roman" w:hAnsi="Times New Roman" w:cs="Times New Roman" w:eastAsia="Times New Roman"/>
          <w:b w:val="0"/>
          <w:sz w:val="24"/>
        </w:rPr>
        <w:t xml:space="preserve">, con due occorrenze, è nodo estero in relazione bilaterale formalizzata;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all'esistenza della relazione e alla data dell'atto.</w:t>
      </w:r>
    </w:p>
    <w:p>
      <w:pPr>
        <w:spacing w:line="276" w:lineRule="auto" w:after="60" w:before="0"/>
        <w:ind w:firstLine="425"/>
        <w:jc w:val="both"/>
      </w:pPr>
      <w:r>
        <w:rPr>
          <w:rFonts w:ascii="Times New Roman" w:hAnsi="Times New Roman" w:cs="Times New Roman" w:eastAsia="Times New Roman"/>
          <w:b/>
          <w:sz w:val="24"/>
        </w:rPr>
        <w:t>Il Dominio nono: forze armate e apparato militare.</w:t>
      </w:r>
      <w:r>
        <w:rPr>
          <w:rFonts w:ascii="Times New Roman" w:hAnsi="Times New Roman" w:cs="Times New Roman" w:eastAsia="Times New Roman"/>
          <w:b w:val="0"/>
          <w:sz w:val="24"/>
        </w:rPr>
        <w:t xml:space="preserve"> Compaiono lo </w:t>
      </w:r>
      <w:r>
        <w:rPr>
          <w:rFonts w:ascii="Times New Roman" w:hAnsi="Times New Roman" w:cs="Times New Roman" w:eastAsia="Times New Roman"/>
          <w:b/>
          <w:sz w:val="24"/>
        </w:rPr>
        <w:t>Stato Maggiore della Difesa</w:t>
      </w:r>
      <w:r>
        <w:rPr>
          <w:rFonts w:ascii="Times New Roman" w:hAnsi="Times New Roman" w:cs="Times New Roman" w:eastAsia="Times New Roman"/>
          <w:b w:val="0"/>
          <w:sz w:val="24"/>
        </w:rPr>
        <w:t xml:space="preserve"> quale autorità di approvazione, il </w:t>
      </w:r>
      <w:r>
        <w:rPr>
          <w:rFonts w:ascii="Times New Roman" w:hAnsi="Times New Roman" w:cs="Times New Roman" w:eastAsia="Times New Roman"/>
          <w:b/>
          <w:sz w:val="24"/>
        </w:rPr>
        <w:t>Capo di S.M. della Difesa</w:t>
      </w:r>
      <w:r>
        <w:rPr>
          <w:rFonts w:ascii="Times New Roman" w:hAnsi="Times New Roman" w:cs="Times New Roman" w:eastAsia="Times New Roman"/>
          <w:b w:val="0"/>
          <w:sz w:val="24"/>
        </w:rPr>
        <w:t xml:space="preserve"> quale funzione, e sul versante alleato </w:t>
      </w:r>
      <w:r>
        <w:rPr>
          <w:rFonts w:ascii="Times New Roman" w:hAnsi="Times New Roman" w:cs="Times New Roman" w:eastAsia="Times New Roman"/>
          <w:b/>
          <w:sz w:val="24"/>
        </w:rPr>
        <w:t>NATO</w:t>
      </w:r>
      <w:r>
        <w:rPr>
          <w:rFonts w:ascii="Times New Roman" w:hAnsi="Times New Roman" w:cs="Times New Roman" w:eastAsia="Times New Roman"/>
          <w:b w:val="0"/>
          <w:sz w:val="24"/>
        </w:rPr>
        <w:t xml:space="preserve"> con quattro occorrenze, </w:t>
      </w:r>
      <w:r>
        <w:rPr>
          <w:rFonts w:ascii="Times New Roman" w:hAnsi="Times New Roman" w:cs="Times New Roman" w:eastAsia="Times New Roman"/>
          <w:b/>
          <w:sz w:val="24"/>
        </w:rPr>
        <w:t>SHAPE</w:t>
      </w:r>
      <w:r>
        <w:rPr>
          <w:rFonts w:ascii="Times New Roman" w:hAnsi="Times New Roman" w:cs="Times New Roman" w:eastAsia="Times New Roman"/>
          <w:b w:val="0"/>
          <w:sz w:val="24"/>
        </w:rPr>
        <w:t xml:space="preserve"> con due, </w:t>
      </w:r>
      <w:r>
        <w:rPr>
          <w:rFonts w:ascii="Times New Roman" w:hAnsi="Times New Roman" w:cs="Times New Roman" w:eastAsia="Times New Roman"/>
          <w:b/>
          <w:sz w:val="24"/>
        </w:rPr>
        <w:t>SACEUR</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AFSOUTH</w:t>
      </w:r>
      <w:r>
        <w:rPr>
          <w:rFonts w:ascii="Times New Roman" w:hAnsi="Times New Roman" w:cs="Times New Roman" w:eastAsia="Times New Roman"/>
          <w:b w:val="0"/>
          <w:sz w:val="24"/>
        </w:rPr>
        <w:t xml:space="preserve"> e il </w:t>
      </w:r>
      <w:r>
        <w:rPr>
          <w:rFonts w:ascii="Times New Roman" w:hAnsi="Times New Roman" w:cs="Times New Roman" w:eastAsia="Times New Roman"/>
          <w:b/>
          <w:sz w:val="24"/>
        </w:rPr>
        <w:t>Clandestine Planning Committee</w:t>
      </w:r>
      <w:r>
        <w:rPr>
          <w:rFonts w:ascii="Times New Roman" w:hAnsi="Times New Roman" w:cs="Times New Roman" w:eastAsia="Times New Roman"/>
          <w:b w:val="0"/>
          <w:sz w:val="24"/>
        </w:rPr>
        <w:t xml:space="preserve"> di Parigi, ciascuno con una. Il documento distingue con nettezza due piani, e la distinzione è il suo apporto più rilevante alla topografia del dominio: sul piano atlantico le attività restano, per dichiarazione testuale, prevalentemente nel campo dello studio e della pianificazione; sul piano nazionale esse sono oggetto di specifica attività operativa del Servizio.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per entrambe le proposizioni, che sono testo.</w:t>
      </w:r>
    </w:p>
    <w:p>
      <w:pPr>
        <w:spacing w:line="276" w:lineRule="auto" w:after="60" w:before="0"/>
        <w:ind w:firstLine="425"/>
        <w:jc w:val="both"/>
      </w:pPr>
      <w:r>
        <w:rPr>
          <w:rFonts w:ascii="Times New Roman" w:hAnsi="Times New Roman" w:cs="Times New Roman" w:eastAsia="Times New Roman"/>
          <w:b/>
          <w:sz w:val="24"/>
        </w:rPr>
        <w:t>Le unità e le formazioni.</w:t>
      </w:r>
      <w:r>
        <w:rPr>
          <w:rFonts w:ascii="Times New Roman" w:hAnsi="Times New Roman" w:cs="Times New Roman" w:eastAsia="Times New Roman"/>
          <w:b w:val="0"/>
          <w:sz w:val="24"/>
        </w:rPr>
        <w:t xml:space="preserve"> Sono censite come nodi-organizzazione, tutte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alla previsione programmatica e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quanto alla effettiva consistenza raggiunta, poiché il documento dichiara una consistenza attuale per una sola di esse: </w:t>
      </w:r>
      <w:r>
        <w:rPr>
          <w:rFonts w:ascii="Times New Roman" w:hAnsi="Times New Roman" w:cs="Times New Roman" w:eastAsia="Times New Roman"/>
          <w:b/>
          <w:sz w:val="24"/>
        </w:rPr>
        <w:t>STELLA ALPINA</w:t>
      </w:r>
      <w:r>
        <w:rPr>
          <w:rFonts w:ascii="Times New Roman" w:hAnsi="Times New Roman" w:cs="Times New Roman" w:eastAsia="Times New Roman"/>
          <w:b w:val="0"/>
          <w:sz w:val="24"/>
        </w:rPr>
        <w:t xml:space="preserve"> nel Friuli, con tre occorrenze, dichiarata di circa seicento uomini in atto e tendente a mille di pronto impiego più altri mille mobilitabili, e riallacciata alla preesistente organizzazione </w:t>
      </w:r>
      <w:r>
        <w:rPr>
          <w:rFonts w:ascii="Times New Roman" w:hAnsi="Times New Roman" w:cs="Times New Roman" w:eastAsia="Times New Roman"/>
          <w:b/>
          <w:sz w:val="24"/>
        </w:rPr>
        <w:t>OSOPPO</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STELLA MARINA</w:t>
      </w:r>
      <w:r>
        <w:rPr>
          <w:rFonts w:ascii="Times New Roman" w:hAnsi="Times New Roman" w:cs="Times New Roman" w:eastAsia="Times New Roman"/>
          <w:b w:val="0"/>
          <w:sz w:val="24"/>
        </w:rPr>
        <w:t xml:space="preserve">, con quattro occorrenze, riallacciata alle preesistenti </w:t>
      </w:r>
      <w:r>
        <w:rPr>
          <w:rFonts w:ascii="Times New Roman" w:hAnsi="Times New Roman" w:cs="Times New Roman" w:eastAsia="Times New Roman"/>
          <w:b/>
          <w:sz w:val="24"/>
        </w:rPr>
        <w:t>GIGLIO</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GIGLIO II</w:t>
      </w:r>
      <w:r>
        <w:rPr>
          <w:rFonts w:ascii="Times New Roman" w:hAnsi="Times New Roman" w:cs="Times New Roman" w:eastAsia="Times New Roman"/>
          <w:b w:val="0"/>
          <w:sz w:val="24"/>
        </w:rPr>
        <w:t xml:space="preserve">, programmata a duecento unità; </w:t>
      </w:r>
      <w:r>
        <w:rPr>
          <w:rFonts w:ascii="Times New Roman" w:hAnsi="Times New Roman" w:cs="Times New Roman" w:eastAsia="Times New Roman"/>
          <w:b/>
          <w:sz w:val="24"/>
        </w:rPr>
        <w:t>RODODENDRO</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AZALEA</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GINESTRA</w:t>
      </w:r>
      <w:r>
        <w:rPr>
          <w:rFonts w:ascii="Times New Roman" w:hAnsi="Times New Roman" w:cs="Times New Roman" w:eastAsia="Times New Roman"/>
          <w:b w:val="0"/>
          <w:sz w:val="24"/>
        </w:rPr>
        <w:t>, ciascuna programmata a un intervallo fra cento e duecento unità. I quaranta nuclei si distinguono per branca: sei informativi, dieci di sabotaggio, sei di propaganda, sei di evasione e fuga, dodici di guerriglia, per centosettantadue uomini fra novantadue operativi e ottanta marconisti, con dieci ulteriori nuclei previsti in posizione indefinita. Le unità di pronto impiego assommano a millecinquecento di pronto impiego e altrettanti mobilitabili, per tremila.</w:t>
      </w:r>
    </w:p>
    <w:p>
      <w:pPr>
        <w:spacing w:line="276" w:lineRule="auto" w:after="60" w:before="0"/>
        <w:ind w:firstLine="425"/>
        <w:jc w:val="both"/>
      </w:pPr>
      <w:r>
        <w:rPr>
          <w:rFonts w:ascii="Times New Roman" w:hAnsi="Times New Roman" w:cs="Times New Roman" w:eastAsia="Times New Roman"/>
          <w:b/>
          <w:sz w:val="24"/>
        </w:rPr>
        <w:t>I nodi-luogo.</w:t>
      </w:r>
      <w:r>
        <w:rPr>
          <w:rFonts w:ascii="Times New Roman" w:hAnsi="Times New Roman" w:cs="Times New Roman" w:eastAsia="Times New Roman"/>
          <w:b w:val="0"/>
          <w:sz w:val="24"/>
        </w:rPr>
        <w:t xml:space="preserve"> Il documento nomina </w:t>
      </w:r>
      <w:r>
        <w:rPr>
          <w:rFonts w:ascii="Times New Roman" w:hAnsi="Times New Roman" w:cs="Times New Roman" w:eastAsia="Times New Roman"/>
          <w:b/>
          <w:sz w:val="24"/>
        </w:rPr>
        <w:t>Roma</w:t>
      </w:r>
      <w:r>
        <w:rPr>
          <w:rFonts w:ascii="Times New Roman" w:hAnsi="Times New Roman" w:cs="Times New Roman" w:eastAsia="Times New Roman"/>
          <w:b w:val="0"/>
          <w:sz w:val="24"/>
        </w:rPr>
        <w:t xml:space="preserve"> quale luogo di redazione, </w:t>
      </w:r>
      <w:r>
        <w:rPr>
          <w:rFonts w:ascii="Times New Roman" w:hAnsi="Times New Roman" w:cs="Times New Roman" w:eastAsia="Times New Roman"/>
          <w:b/>
          <w:sz w:val="24"/>
        </w:rPr>
        <w:t>Parigi</w:t>
      </w:r>
      <w:r>
        <w:rPr>
          <w:rFonts w:ascii="Times New Roman" w:hAnsi="Times New Roman" w:cs="Times New Roman" w:eastAsia="Times New Roman"/>
          <w:b w:val="0"/>
          <w:sz w:val="24"/>
        </w:rPr>
        <w:t xml:space="preserve"> quale sede del comitato atlantico, la </w:t>
      </w:r>
      <w:r>
        <w:rPr>
          <w:rFonts w:ascii="Times New Roman" w:hAnsi="Times New Roman" w:cs="Times New Roman" w:eastAsia="Times New Roman"/>
          <w:b/>
          <w:sz w:val="24"/>
        </w:rPr>
        <w:t>Sardegna</w:t>
      </w:r>
      <w:r>
        <w:rPr>
          <w:rFonts w:ascii="Times New Roman" w:hAnsi="Times New Roman" w:cs="Times New Roman" w:eastAsia="Times New Roman"/>
          <w:b w:val="0"/>
          <w:sz w:val="24"/>
        </w:rPr>
        <w:t xml:space="preserve"> quale sede della base dell'operazione, il </w:t>
      </w:r>
      <w:r>
        <w:rPr>
          <w:rFonts w:ascii="Times New Roman" w:hAnsi="Times New Roman" w:cs="Times New Roman" w:eastAsia="Times New Roman"/>
          <w:b/>
          <w:sz w:val="24"/>
        </w:rPr>
        <w:t>Friuli</w:t>
      </w:r>
      <w:r>
        <w:rPr>
          <w:rFonts w:ascii="Times New Roman" w:hAnsi="Times New Roman" w:cs="Times New Roman" w:eastAsia="Times New Roman"/>
          <w:b w:val="0"/>
          <w:sz w:val="24"/>
        </w:rPr>
        <w:t xml:space="preserve"> quale regione della prima unità, e ripartisce il territorio nazionale in quattro zone con priorità dichiarata all'Alta Italia. La menzione della Sardegna è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e assume rilievo particolare perché compare dentro la clausola statunitense: l'accordo è basato, da parte statunitense, sul presupposto che i piani italiani prevedano l'attuazione di tutti gli sforzi per mantenerne il possesso, e il Servizio statunitense ha precisato in data sette ottobre millenovecentocinquantasette che il proprio appoggio alla base è considerato nei piani di guerra degli Stati Uniti d'America. Il nodo-luogo è dunque, per attestazione testuale, punto di intersezione fra pianificazione nazionale e pianificazione alleata.</w:t>
      </w:r>
    </w:p>
    <w:p>
      <w:pPr>
        <w:spacing w:line="276" w:lineRule="auto" w:after="60" w:before="0"/>
        <w:ind w:firstLine="425"/>
        <w:jc w:val="both"/>
      </w:pPr>
      <w:r>
        <w:rPr>
          <w:rFonts w:ascii="Times New Roman" w:hAnsi="Times New Roman" w:cs="Times New Roman" w:eastAsia="Times New Roman"/>
          <w:b/>
          <w:sz w:val="24"/>
        </w:rPr>
        <w:t>I nodi-evento e le date.</w:t>
      </w:r>
      <w:r>
        <w:rPr>
          <w:rFonts w:ascii="Times New Roman" w:hAnsi="Times New Roman" w:cs="Times New Roman" w:eastAsia="Times New Roman"/>
          <w:b w:val="0"/>
          <w:sz w:val="24"/>
        </w:rPr>
        <w:t xml:space="preserve"> Quattro date sono attestate direttamente: il primo ottobre millenovecentocinquantasei per la costituzione della Sezione; il ventisei novembre millenovecentocinquantasei per l'accordo bilaterale, di cui è riportato il titolo per esteso; il sette ottobre millenovecentocinquantasette per la precisazione statunitense; il primo giugno millenovecentocinquantanove per il rapporto medesimo. Tutte </w:t>
      </w:r>
      <w:r>
        <w:rPr>
          <w:rFonts w:ascii="Times New Roman" w:hAnsi="Times New Roman" w:cs="Times New Roman" w:eastAsia="Times New Roman"/>
          <w:b/>
          <w:sz w:val="24"/>
        </w:rPr>
        <w:t>Savona A</w:t>
      </w:r>
      <w:r>
        <w:rPr>
          <w:rFonts w:ascii="Times New Roman" w:hAnsi="Times New Roman" w:cs="Times New Roman" w:eastAsia="Times New Roman"/>
          <w:b w:val="0"/>
          <w:sz w:val="24"/>
        </w:rPr>
        <w:t>. Ne discende una finestra di trentun mesi fra la costituzione della struttura e la relazione sul suo stato, che la Parte quarta riprende come dato temporale.</w:t>
      </w:r>
    </w:p>
    <w:p>
      <w:pPr>
        <w:spacing w:line="276" w:lineRule="auto" w:after="60" w:before="0"/>
        <w:ind w:firstLine="425"/>
        <w:jc w:val="both"/>
      </w:pPr>
      <w:r>
        <w:rPr>
          <w:rFonts w:ascii="Times New Roman" w:hAnsi="Times New Roman" w:cs="Times New Roman" w:eastAsia="Times New Roman"/>
          <w:b/>
          <w:sz w:val="24"/>
        </w:rPr>
        <w:t>I nodi-cifra.</w:t>
      </w:r>
      <w:r>
        <w:rPr>
          <w:rFonts w:ascii="Times New Roman" w:hAnsi="Times New Roman" w:cs="Times New Roman" w:eastAsia="Times New Roman"/>
          <w:b w:val="0"/>
          <w:sz w:val="24"/>
        </w:rPr>
        <w:t xml:space="preserve"> La consistenza patrimoniale è dichiarata in circa un miliardo e mezzo di lire fra immobili, installazioni, materiali ed equipaggiamenti; il bilancio di previsione in duecentoventicinque milioni annui, di cui circa centoventicinque a bilancio riservato e cento a bilancio ordinario, escluse le spese per il personale militare.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alla dichiarazione,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quanto alla veridicità delle poste, che nessuna fonte indipendente riscontra. La distinzione fra bilancio riservato e bilancio ordinario è, per il Dominio sesto, il dato più significativo del documento: essa attesta che la struttura è finanziata su due canali di natura diversa, e che il canale riservato è maggioritario.</w:t>
      </w:r>
    </w:p>
    <w:p>
      <w:pPr>
        <w:spacing w:line="276" w:lineRule="auto" w:after="60" w:before="0"/>
        <w:ind w:firstLine="425"/>
        <w:jc w:val="both"/>
      </w:pPr>
      <w:r>
        <w:rPr>
          <w:rFonts w:ascii="Times New Roman" w:hAnsi="Times New Roman" w:cs="Times New Roman" w:eastAsia="Times New Roman"/>
          <w:b/>
          <w:sz w:val="24"/>
        </w:rPr>
        <w:t>Il reperto negativo.</w:t>
      </w:r>
      <w:r>
        <w:rPr>
          <w:rFonts w:ascii="Times New Roman" w:hAnsi="Times New Roman" w:cs="Times New Roman" w:eastAsia="Times New Roman"/>
          <w:b w:val="0"/>
          <w:sz w:val="24"/>
        </w:rPr>
        <w:t xml:space="preserve"> Il documento </w:t>
      </w:r>
      <w:r>
        <w:rPr>
          <w:rFonts w:ascii="Times New Roman" w:hAnsi="Times New Roman" w:cs="Times New Roman" w:eastAsia="Times New Roman"/>
          <w:b/>
          <w:sz w:val="24"/>
        </w:rPr>
        <w:t>non nomina alcuna persona fisica</w:t>
      </w:r>
      <w:r>
        <w:rPr>
          <w:rFonts w:ascii="Times New Roman" w:hAnsi="Times New Roman" w:cs="Times New Roman" w:eastAsia="Times New Roman"/>
          <w:b w:val="0"/>
          <w:sz w:val="24"/>
        </w:rPr>
        <w:t xml:space="preserve">. Nelle tredici carte non compare un solo nome proprio di individuo: tutte le posizioni sono designate per funzione — Capo Servizio, Capo del SIFAR, Capo di S.M. della Difesa, Capo Ufficio «R», Capo Sezione. L'assenza è integrale, verificata carta per carta, e si registra come </w:t>
      </w:r>
      <w:r>
        <w:rPr>
          <w:rFonts w:ascii="Times New Roman" w:hAnsi="Times New Roman" w:cs="Times New Roman" w:eastAsia="Times New Roman"/>
          <w:b/>
          <w:sz w:val="24"/>
        </w:rPr>
        <w:t>accertamento negativo di Livello A</w:t>
      </w:r>
      <w:r>
        <w:rPr>
          <w:rFonts w:ascii="Times New Roman" w:hAnsi="Times New Roman" w:cs="Times New Roman" w:eastAsia="Times New Roman"/>
          <w:b w:val="0"/>
          <w:sz w:val="24"/>
        </w:rPr>
        <w:t>, poiché l'assenza rigorosamente stabilita ha nell'ordinamento dell'opera lo stesso statuto di un fatto positivo. Ne discende un vincolo operativo: nessun nodo-persona può essere generato da questo documento, e ogni attribuzione nominativa relativa alle funzioni qui descritte dovrà provenire da altra fonte e reggersi su di essa.</w:t>
      </w:r>
    </w:p>
    <w:p>
      <w:pPr>
        <w:spacing w:line="276" w:lineRule="auto" w:after="80" w:before="200"/>
        <w:ind w:firstLine="0"/>
        <w:jc w:val="both"/>
      </w:pPr>
      <w:r>
        <w:rPr>
          <w:rFonts w:ascii="Times New Roman" w:hAnsi="Times New Roman" w:cs="Times New Roman" w:eastAsia="Times New Roman"/>
          <w:b/>
          <w:sz w:val="24"/>
        </w:rPr>
        <w:t>PARTE SECONDA — I NODI DELLE FONTI SECONDARIE E TERZIARIE</w:t>
      </w:r>
    </w:p>
    <w:p>
      <w:pPr>
        <w:spacing w:line="276" w:lineRule="auto" w:after="60" w:before="0"/>
        <w:ind w:firstLine="425"/>
        <w:jc w:val="both"/>
      </w:pPr>
      <w:r>
        <w:rPr>
          <w:rFonts w:ascii="Times New Roman" w:hAnsi="Times New Roman" w:cs="Times New Roman" w:eastAsia="Times New Roman"/>
          <w:b/>
          <w:sz w:val="24"/>
        </w:rPr>
        <w:t>Il Dominio settimo, versante italiano.</w:t>
      </w:r>
      <w:r>
        <w:rPr>
          <w:rFonts w:ascii="Times New Roman" w:hAnsi="Times New Roman" w:cs="Times New Roman" w:eastAsia="Times New Roman"/>
          <w:b w:val="0"/>
          <w:sz w:val="24"/>
        </w:rPr>
        <w:t xml:space="preserve"> La fonte terziaria attesta, con i limiti che la Parte quinta dichiara, i nodi-persona </w:t>
      </w:r>
      <w:r>
        <w:rPr>
          <w:rFonts w:ascii="Times New Roman" w:hAnsi="Times New Roman" w:cs="Times New Roman" w:eastAsia="Times New Roman"/>
          <w:b/>
          <w:sz w:val="24"/>
        </w:rPr>
        <w:t>Curcio</w:t>
      </w:r>
      <w:r>
        <w:rPr>
          <w:rFonts w:ascii="Times New Roman" w:hAnsi="Times New Roman" w:cs="Times New Roman" w:eastAsia="Times New Roman"/>
          <w:b w:val="0"/>
          <w:sz w:val="24"/>
        </w:rPr>
        <w:t xml:space="preserve"> con cinque occorrenze, </w:t>
      </w:r>
      <w:r>
        <w:rPr>
          <w:rFonts w:ascii="Times New Roman" w:hAnsi="Times New Roman" w:cs="Times New Roman" w:eastAsia="Times New Roman"/>
          <w:b/>
          <w:sz w:val="24"/>
        </w:rPr>
        <w:t>Franceschini</w:t>
      </w:r>
      <w:r>
        <w:rPr>
          <w:rFonts w:ascii="Times New Roman" w:hAnsi="Times New Roman" w:cs="Times New Roman" w:eastAsia="Times New Roman"/>
          <w:b w:val="0"/>
          <w:sz w:val="24"/>
        </w:rPr>
        <w:t xml:space="preserve"> con quattro, </w:t>
      </w:r>
      <w:r>
        <w:rPr>
          <w:rFonts w:ascii="Times New Roman" w:hAnsi="Times New Roman" w:cs="Times New Roman" w:eastAsia="Times New Roman"/>
          <w:b/>
          <w:sz w:val="24"/>
        </w:rPr>
        <w:t>Moretti</w:t>
      </w:r>
      <w:r>
        <w:rPr>
          <w:rFonts w:ascii="Times New Roman" w:hAnsi="Times New Roman" w:cs="Times New Roman" w:eastAsia="Times New Roman"/>
          <w:b w:val="0"/>
          <w:sz w:val="24"/>
        </w:rPr>
        <w:t xml:space="preserve"> con quattro, </w:t>
      </w:r>
      <w:r>
        <w:rPr>
          <w:rFonts w:ascii="Times New Roman" w:hAnsi="Times New Roman" w:cs="Times New Roman" w:eastAsia="Times New Roman"/>
          <w:b/>
          <w:sz w:val="24"/>
        </w:rPr>
        <w:t>Cagol</w:t>
      </w:r>
      <w:r>
        <w:rPr>
          <w:rFonts w:ascii="Times New Roman" w:hAnsi="Times New Roman" w:cs="Times New Roman" w:eastAsia="Times New Roman"/>
          <w:b w:val="0"/>
          <w:sz w:val="24"/>
        </w:rPr>
        <w:t xml:space="preserve"> con due, </w:t>
      </w:r>
      <w:r>
        <w:rPr>
          <w:rFonts w:ascii="Times New Roman" w:hAnsi="Times New Roman" w:cs="Times New Roman" w:eastAsia="Times New Roman"/>
          <w:b/>
          <w:sz w:val="24"/>
        </w:rPr>
        <w:t>Senzani</w:t>
      </w:r>
      <w:r>
        <w:rPr>
          <w:rFonts w:ascii="Times New Roman" w:hAnsi="Times New Roman" w:cs="Times New Roman" w:eastAsia="Times New Roman"/>
          <w:b w:val="0"/>
          <w:sz w:val="24"/>
        </w:rPr>
        <w:t xml:space="preserve"> con una; i nodi-organizzazione </w:t>
      </w:r>
      <w:r>
        <w:rPr>
          <w:rFonts w:ascii="Times New Roman" w:hAnsi="Times New Roman" w:cs="Times New Roman" w:eastAsia="Times New Roman"/>
          <w:b/>
          <w:sz w:val="24"/>
        </w:rPr>
        <w:t>Brigate Rosse</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Autonomia Operaia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Direzione Strategica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Comitato Esecutivo</w:t>
      </w:r>
      <w:r>
        <w:rPr>
          <w:rFonts w:ascii="Times New Roman" w:hAnsi="Times New Roman" w:cs="Times New Roman" w:eastAsia="Times New Roman"/>
          <w:b w:val="0"/>
          <w:sz w:val="24"/>
        </w:rPr>
        <w:t xml:space="preserve">, colonne e fronti, </w:t>
      </w:r>
      <w:r>
        <w:rPr>
          <w:rFonts w:ascii="Times New Roman" w:hAnsi="Times New Roman" w:cs="Times New Roman" w:eastAsia="Times New Roman"/>
          <w:b/>
          <w:sz w:val="24"/>
        </w:rPr>
        <w:t>Prima Posizione</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Seconda Posizione</w:t>
      </w:r>
      <w:r>
        <w:rPr>
          <w:rFonts w:ascii="Times New Roman" w:hAnsi="Times New Roman" w:cs="Times New Roman" w:eastAsia="Times New Roman"/>
          <w:b w:val="0"/>
          <w:sz w:val="24"/>
        </w:rPr>
        <w:t xml:space="preserve">, e il successore </w:t>
      </w:r>
      <w:r>
        <w:rPr>
          <w:rFonts w:ascii="Times New Roman" w:hAnsi="Times New Roman" w:cs="Times New Roman" w:eastAsia="Times New Roman"/>
          <w:b/>
          <w:sz w:val="24"/>
        </w:rPr>
        <w:t>BR/PCC</w:t>
      </w:r>
      <w:r>
        <w:rPr>
          <w:rFonts w:ascii="Times New Roman" w:hAnsi="Times New Roman" w:cs="Times New Roman" w:eastAsia="Times New Roman"/>
          <w:b w:val="0"/>
          <w:sz w:val="24"/>
        </w:rPr>
        <w:t xml:space="preserve"> con quindici occorrenze; i nodi-evento della fondazione al venti ottobre millenovecentosettanta, del primo sequestro nel marzo millenovecentosettantadue, della Risoluzione della Direzione Strategica nel millenovecentosettantacinque, degli arresti del millenovecentosettantasei, del sequestro di via Fani del sedici marzo millenovecentosettantotto, del sequestro </w:t>
      </w:r>
      <w:r>
        <w:rPr>
          <w:rFonts w:ascii="Times New Roman" w:hAnsi="Times New Roman" w:cs="Times New Roman" w:eastAsia="Times New Roman"/>
          <w:b/>
          <w:sz w:val="24"/>
        </w:rPr>
        <w:t>Dozier</w:t>
      </w:r>
      <w:r>
        <w:rPr>
          <w:rFonts w:ascii="Times New Roman" w:hAnsi="Times New Roman" w:cs="Times New Roman" w:eastAsia="Times New Roman"/>
          <w:b w:val="0"/>
          <w:sz w:val="24"/>
        </w:rPr>
        <w:t xml:space="preserve"> del diciassette dicembre millenovecentottantuno con cinque occorrenze, degli omicidi </w:t>
      </w:r>
      <w:r>
        <w:rPr>
          <w:rFonts w:ascii="Times New Roman" w:hAnsi="Times New Roman" w:cs="Times New Roman" w:eastAsia="Times New Roman"/>
          <w:b/>
          <w:sz w:val="24"/>
        </w:rPr>
        <w:t>D'Antona</w:t>
      </w:r>
      <w:r>
        <w:rPr>
          <w:rFonts w:ascii="Times New Roman" w:hAnsi="Times New Roman" w:cs="Times New Roman" w:eastAsia="Times New Roman"/>
          <w:b w:val="0"/>
          <w:sz w:val="24"/>
        </w:rPr>
        <w:t xml:space="preserve"> nel maggio millenovecentonovantanove e </w:t>
      </w:r>
      <w:r>
        <w:rPr>
          <w:rFonts w:ascii="Times New Roman" w:hAnsi="Times New Roman" w:cs="Times New Roman" w:eastAsia="Times New Roman"/>
          <w:b/>
          <w:sz w:val="24"/>
        </w:rPr>
        <w:t>Biagi</w:t>
      </w:r>
      <w:r>
        <w:rPr>
          <w:rFonts w:ascii="Times New Roman" w:hAnsi="Times New Roman" w:cs="Times New Roman" w:eastAsia="Times New Roman"/>
          <w:b w:val="0"/>
          <w:sz w:val="24"/>
        </w:rPr>
        <w:t xml:space="preserve"> nel marzo duemiladue, del conflitto ferroviario del marzo duemilatré con i nodi </w:t>
      </w:r>
      <w:r>
        <w:rPr>
          <w:rFonts w:ascii="Times New Roman" w:hAnsi="Times New Roman" w:cs="Times New Roman" w:eastAsia="Times New Roman"/>
          <w:b/>
          <w:sz w:val="24"/>
        </w:rPr>
        <w:t>Galesi</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Lioce</w:t>
      </w:r>
      <w:r>
        <w:rPr>
          <w:rFonts w:ascii="Times New Roman" w:hAnsi="Times New Roman" w:cs="Times New Roman" w:eastAsia="Times New Roman"/>
          <w:b w:val="0"/>
          <w:sz w:val="24"/>
        </w:rPr>
        <w:t xml:space="preserve">, e degli arresti dell'ottobre duemilatré e del gennaio duemilaquattro. Tutti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su questa fonte, elevabili a </w:t>
      </w:r>
      <w:r>
        <w:rPr>
          <w:rFonts w:ascii="Times New Roman" w:hAnsi="Times New Roman" w:cs="Times New Roman" w:eastAsia="Times New Roman"/>
          <w:b/>
          <w:sz w:val="24"/>
        </w:rPr>
        <w:t>B</w:t>
      </w:r>
      <w:r>
        <w:rPr>
          <w:rFonts w:ascii="Times New Roman" w:hAnsi="Times New Roman" w:cs="Times New Roman" w:eastAsia="Times New Roman"/>
          <w:b w:val="0"/>
          <w:sz w:val="24"/>
        </w:rPr>
        <w:t xml:space="preserve"> o ad </w:t>
      </w:r>
      <w:r>
        <w:rPr>
          <w:rFonts w:ascii="Times New Roman" w:hAnsi="Times New Roman" w:cs="Times New Roman" w:eastAsia="Times New Roman"/>
          <w:b/>
          <w:sz w:val="24"/>
        </w:rPr>
        <w:t>A</w:t>
      </w:r>
      <w:r>
        <w:rPr>
          <w:rFonts w:ascii="Times New Roman" w:hAnsi="Times New Roman" w:cs="Times New Roman" w:eastAsia="Times New Roman"/>
          <w:b w:val="0"/>
          <w:sz w:val="24"/>
        </w:rPr>
        <w:t xml:space="preserve"> soltanto per risalita alle fonti processuali e parlamentari che l'opera già possiede. Il nodo </w:t>
      </w:r>
      <w:r>
        <w:rPr>
          <w:rFonts w:ascii="Times New Roman" w:hAnsi="Times New Roman" w:cs="Times New Roman" w:eastAsia="Times New Roman"/>
          <w:b/>
          <w:sz w:val="24"/>
        </w:rPr>
        <w:t>Moro</w:t>
      </w:r>
      <w:r>
        <w:rPr>
          <w:rFonts w:ascii="Times New Roman" w:hAnsi="Times New Roman" w:cs="Times New Roman" w:eastAsia="Times New Roman"/>
          <w:b w:val="0"/>
          <w:sz w:val="24"/>
        </w:rPr>
        <w:t xml:space="preserve">, con dodici occorrenze, e il nodo </w:t>
      </w:r>
      <w:r>
        <w:rPr>
          <w:rFonts w:ascii="Times New Roman" w:hAnsi="Times New Roman" w:cs="Times New Roman" w:eastAsia="Times New Roman"/>
          <w:b/>
          <w:sz w:val="24"/>
        </w:rPr>
        <w:t>Cossiga</w:t>
      </w:r>
      <w:r>
        <w:rPr>
          <w:rFonts w:ascii="Times New Roman" w:hAnsi="Times New Roman" w:cs="Times New Roman" w:eastAsia="Times New Roman"/>
          <w:b w:val="0"/>
          <w:sz w:val="24"/>
        </w:rPr>
        <w:t>, con una, appartengono al nucleo moroteo dell'opera e non ricevono qui alcuna qualificazione: si consegnano al Registro competente secondo il Protocollo dei Passaggi.</w:t>
      </w:r>
    </w:p>
    <w:p>
      <w:pPr>
        <w:spacing w:line="276" w:lineRule="auto" w:after="60" w:before="0"/>
        <w:ind w:firstLine="425"/>
        <w:jc w:val="both"/>
      </w:pPr>
      <w:r>
        <w:rPr>
          <w:rFonts w:ascii="Times New Roman" w:hAnsi="Times New Roman" w:cs="Times New Roman" w:eastAsia="Times New Roman"/>
          <w:b/>
          <w:sz w:val="24"/>
        </w:rPr>
        <w:t>Il Dominio settimo, versante transnazionale.</w:t>
      </w:r>
      <w:r>
        <w:rPr>
          <w:rFonts w:ascii="Times New Roman" w:hAnsi="Times New Roman" w:cs="Times New Roman" w:eastAsia="Times New Roman"/>
          <w:b w:val="0"/>
          <w:sz w:val="24"/>
        </w:rPr>
        <w:t xml:space="preserve"> La fonte sulle FARC attesta, con settantasette occorrenze del nome, l'organizzazione e la sua articolazione fra segretariato generale politico centralizzato e unità operative decentrate, con il </w:t>
      </w:r>
      <w:r>
        <w:rPr>
          <w:rFonts w:ascii="Times New Roman" w:hAnsi="Times New Roman" w:cs="Times New Roman" w:eastAsia="Times New Roman"/>
          <w:b/>
          <w:sz w:val="24"/>
        </w:rPr>
        <w:t>Joint Western Command</w:t>
      </w:r>
      <w:r>
        <w:rPr>
          <w:rFonts w:ascii="Times New Roman" w:hAnsi="Times New Roman" w:cs="Times New Roman" w:eastAsia="Times New Roman"/>
          <w:b w:val="0"/>
          <w:sz w:val="24"/>
        </w:rPr>
        <w:t xml:space="preserve"> indicato quale blocco più orientato al profitto e responsabile della maggior parte delle operazioni semisommergibili nel Pacifico, e con una stima di sessantacinque per cento del gettito complessivo. </w:t>
      </w:r>
      <w:r>
        <w:rPr>
          <w:rFonts w:ascii="Times New Roman" w:hAnsi="Times New Roman" w:cs="Times New Roman" w:eastAsia="Times New Roman"/>
          <w:b/>
          <w:sz w:val="24"/>
        </w:rPr>
        <w:t>Savona B</w:t>
      </w:r>
      <w:r>
        <w:rPr>
          <w:rFonts w:ascii="Times New Roman" w:hAnsi="Times New Roman" w:cs="Times New Roman" w:eastAsia="Times New Roman"/>
          <w:b w:val="0"/>
          <w:sz w:val="24"/>
        </w:rPr>
        <w:t xml:space="preserve">, poiché la fonte è secondaria con apparato ma le stime risalgono a tesi di scuola militare e a materiale giornalistico. Compaiono i nodi </w:t>
      </w:r>
      <w:r>
        <w:rPr>
          <w:rFonts w:ascii="Times New Roman" w:hAnsi="Times New Roman" w:cs="Times New Roman" w:eastAsia="Times New Roman"/>
          <w:b/>
          <w:sz w:val="24"/>
        </w:rPr>
        <w:t>Cartel Norte del Valle</w:t>
      </w:r>
      <w:r>
        <w:rPr>
          <w:rFonts w:ascii="Times New Roman" w:hAnsi="Times New Roman" w:cs="Times New Roman" w:eastAsia="Times New Roman"/>
          <w:b w:val="0"/>
          <w:sz w:val="24"/>
        </w:rPr>
        <w:t xml:space="preserve">, indicato come possibile ideatore originario privo di mezzi propri, </w:t>
      </w:r>
      <w:r>
        <w:rPr>
          <w:rFonts w:ascii="Times New Roman" w:hAnsi="Times New Roman" w:cs="Times New Roman" w:eastAsia="Times New Roman"/>
          <w:b/>
          <w:sz w:val="24"/>
        </w:rPr>
        <w:t>Portocarrero</w:t>
      </w:r>
      <w:r>
        <w:rPr>
          <w:rFonts w:ascii="Times New Roman" w:hAnsi="Times New Roman" w:cs="Times New Roman" w:eastAsia="Times New Roman"/>
          <w:b w:val="0"/>
          <w:sz w:val="24"/>
        </w:rPr>
        <w:t xml:space="preserve"> detto Captain Nemo quale contributore civile, il </w:t>
      </w:r>
      <w:r>
        <w:rPr>
          <w:rFonts w:ascii="Times New Roman" w:hAnsi="Times New Roman" w:cs="Times New Roman" w:eastAsia="Times New Roman"/>
          <w:b/>
          <w:sz w:val="24"/>
        </w:rPr>
        <w:t>SENA</w:t>
      </w:r>
      <w:r>
        <w:rPr>
          <w:rFonts w:ascii="Times New Roman" w:hAnsi="Times New Roman" w:cs="Times New Roman" w:eastAsia="Times New Roman"/>
          <w:b w:val="0"/>
          <w:sz w:val="24"/>
        </w:rPr>
        <w:t xml:space="preserve"> quale istituto formativo da cui provengono taluni membri d'equipaggio, la </w:t>
      </w:r>
      <w:r>
        <w:rPr>
          <w:rFonts w:ascii="Times New Roman" w:hAnsi="Times New Roman" w:cs="Times New Roman" w:eastAsia="Times New Roman"/>
          <w:b/>
          <w:sz w:val="24"/>
        </w:rPr>
        <w:t>DEA</w:t>
      </w:r>
      <w:r>
        <w:rPr>
          <w:rFonts w:ascii="Times New Roman" w:hAnsi="Times New Roman" w:cs="Times New Roman" w:eastAsia="Times New Roman"/>
          <w:b w:val="0"/>
          <w:sz w:val="24"/>
        </w:rPr>
        <w:t xml:space="preserve"> e la Polizia Nazionale colombiana quali fonti delle stime. I nodi-luogo sono la costa pacifica colombiana con </w:t>
      </w:r>
      <w:r>
        <w:rPr>
          <w:rFonts w:ascii="Times New Roman" w:hAnsi="Times New Roman" w:cs="Times New Roman" w:eastAsia="Times New Roman"/>
          <w:b/>
          <w:sz w:val="24"/>
        </w:rPr>
        <w:t>Buenaventura</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Sanquianga</w:t>
      </w:r>
      <w:r>
        <w:rPr>
          <w:rFonts w:ascii="Times New Roman" w:hAnsi="Times New Roman" w:cs="Times New Roman" w:eastAsia="Times New Roman"/>
          <w:b w:val="0"/>
          <w:sz w:val="24"/>
        </w:rPr>
        <w:t>, le acque ecuadoriane e le isole di San Andrés.</w:t>
      </w:r>
    </w:p>
    <w:p>
      <w:pPr>
        <w:spacing w:line="276" w:lineRule="auto" w:after="60" w:before="0"/>
        <w:ind w:firstLine="425"/>
        <w:jc w:val="both"/>
      </w:pPr>
      <w:r>
        <w:rPr>
          <w:rFonts w:ascii="Times New Roman" w:hAnsi="Times New Roman" w:cs="Times New Roman" w:eastAsia="Times New Roman"/>
          <w:b/>
          <w:sz w:val="24"/>
        </w:rPr>
        <w:t>Il quadro teorico del Dominio primo.</w:t>
      </w:r>
      <w:r>
        <w:rPr>
          <w:rFonts w:ascii="Times New Roman" w:hAnsi="Times New Roman" w:cs="Times New Roman" w:eastAsia="Times New Roman"/>
          <w:b w:val="0"/>
          <w:sz w:val="24"/>
        </w:rPr>
        <w:t xml:space="preserve"> La fonte del duemilaventitré non genera nodi-persona operativi ma un apparato concettuale con centoundici occorrenze del nome dell'autore di riferimento, e censisce i nodi-organizzazione della criminalità transnazionale: </w:t>
      </w:r>
      <w:r>
        <w:rPr>
          <w:rFonts w:ascii="Times New Roman" w:hAnsi="Times New Roman" w:cs="Times New Roman" w:eastAsia="Times New Roman"/>
          <w:b/>
          <w:sz w:val="24"/>
        </w:rPr>
        <w:t>Cosa Nostra</w:t>
      </w:r>
      <w:r>
        <w:rPr>
          <w:rFonts w:ascii="Times New Roman" w:hAnsi="Times New Roman" w:cs="Times New Roman" w:eastAsia="Times New Roman"/>
          <w:b w:val="0"/>
          <w:sz w:val="24"/>
        </w:rPr>
        <w:t xml:space="preserve"> siciliana e americana, </w:t>
      </w:r>
      <w:r>
        <w:rPr>
          <w:rFonts w:ascii="Times New Roman" w:hAnsi="Times New Roman" w:cs="Times New Roman" w:eastAsia="Times New Roman"/>
          <w:b/>
          <w:sz w:val="24"/>
        </w:rPr>
        <w:t>Camorra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'Ndrangheta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mafiya</w:t>
      </w:r>
      <w:r>
        <w:rPr>
          <w:rFonts w:ascii="Times New Roman" w:hAnsi="Times New Roman" w:cs="Times New Roman" w:eastAsia="Times New Roman"/>
          <w:b w:val="0"/>
          <w:sz w:val="24"/>
        </w:rPr>
        <w:t xml:space="preserve"> russa, </w:t>
      </w:r>
      <w:r>
        <w:rPr>
          <w:rFonts w:ascii="Times New Roman" w:hAnsi="Times New Roman" w:cs="Times New Roman" w:eastAsia="Times New Roman"/>
          <w:b/>
          <w:sz w:val="24"/>
        </w:rPr>
        <w:t>Triadi</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Yakuza</w:t>
      </w:r>
      <w:r>
        <w:rPr>
          <w:rFonts w:ascii="Times New Roman" w:hAnsi="Times New Roman" w:cs="Times New Roman" w:eastAsia="Times New Roman"/>
          <w:b w:val="0"/>
          <w:sz w:val="24"/>
        </w:rPr>
        <w:t xml:space="preserve">, cartelli messicani, </w:t>
      </w:r>
      <w:r>
        <w:rPr>
          <w:rFonts w:ascii="Times New Roman" w:hAnsi="Times New Roman" w:cs="Times New Roman" w:eastAsia="Times New Roman"/>
          <w:b/>
          <w:sz w:val="24"/>
        </w:rPr>
        <w:t>MS-13</w:t>
      </w:r>
      <w:r>
        <w:rPr>
          <w:rFonts w:ascii="Times New Roman" w:hAnsi="Times New Roman" w:cs="Times New Roman" w:eastAsia="Times New Roman"/>
          <w:b w:val="0"/>
          <w:sz w:val="24"/>
        </w:rPr>
        <w:t xml:space="preserve"> e maras. Sul piano dei concetti registra riconfigurazione cooptata dello Stato, insorgenza criminale, insorgenza gemella, insorgenza plutocratica, guerra di rete, globalizzazione deviante, cultura del narcotraffico, spazio dei flussi e stato-rete. Nessuno di questi è nodo nel senso dell'opera: sono strumenti di lettura, e si registrano nella sede propria come tali, senza entrare in alcuna matrice probatoria.</w:t>
      </w:r>
    </w:p>
    <w:p>
      <w:pPr>
        <w:spacing w:line="276" w:lineRule="auto" w:after="60" w:before="0"/>
        <w:ind w:firstLine="425"/>
        <w:jc w:val="both"/>
      </w:pPr>
      <w:r>
        <w:rPr>
          <w:rFonts w:ascii="Times New Roman" w:hAnsi="Times New Roman" w:cs="Times New Roman" w:eastAsia="Times New Roman"/>
          <w:b/>
          <w:sz w:val="24"/>
        </w:rPr>
        <w:t>Il Dominio nono e primo nel quadrante brasiliano.</w:t>
      </w:r>
      <w:r>
        <w:rPr>
          <w:rFonts w:ascii="Times New Roman" w:hAnsi="Times New Roman" w:cs="Times New Roman" w:eastAsia="Times New Roman"/>
          <w:b w:val="0"/>
          <w:sz w:val="24"/>
        </w:rPr>
        <w:t xml:space="preserve"> La fonte di critica letteraria attesta, di secondo grado, il regime militare del sessantaquattro-ottantacinque, il genere del romanzo-inchiesta come forma della resistenza codificata, e — nella nota tredicesima, che è il luogo di maggior rilievo documentale dell'intero testo — la mancata riforma della polizia e degli apparati di sicurezza dopo il regime, la persistenza degli squadroni della morte, la formazione di uno Stato duale e la crescita delle milizie extralegali e del crimine organizzato nel dopo-regime.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su questa fonte, con rinvio alle fonti primarie che essa cita e che costituiscono, per l'opera, la parte operativamente utile.</w:t>
      </w:r>
    </w:p>
    <w:p>
      <w:pPr>
        <w:spacing w:line="276" w:lineRule="auto" w:after="80" w:before="200"/>
        <w:ind w:firstLine="0"/>
        <w:jc w:val="both"/>
      </w:pPr>
      <w:r>
        <w:rPr>
          <w:rFonts w:ascii="Times New Roman" w:hAnsi="Times New Roman" w:cs="Times New Roman" w:eastAsia="Times New Roman"/>
          <w:b/>
          <w:sz w:val="24"/>
        </w:rPr>
        <w:t>PARTE TERZA — GLI ARCHI INTER-DOMINIO</w:t>
      </w:r>
    </w:p>
    <w:p>
      <w:pPr>
        <w:spacing w:line="276" w:lineRule="auto" w:after="60" w:before="0"/>
        <w:ind w:firstLine="425"/>
        <w:jc w:val="both"/>
      </w:pPr>
      <w:r>
        <w:rPr>
          <w:rFonts w:ascii="Times New Roman" w:hAnsi="Times New Roman" w:cs="Times New Roman" w:eastAsia="Times New Roman"/>
          <w:b/>
          <w:sz w:val="24"/>
        </w:rPr>
        <w:t>Arco primo, Dominio terzo per Dominio nono, tipo di accoppiamento istituzionale.</w:t>
      </w:r>
      <w:r>
        <w:rPr>
          <w:rFonts w:ascii="Times New Roman" w:hAnsi="Times New Roman" w:cs="Times New Roman" w:eastAsia="Times New Roman"/>
          <w:b w:val="0"/>
          <w:sz w:val="24"/>
        </w:rPr>
        <w:t xml:space="preserve"> Il rapporto del cinquantanove documenta che la decisione del Capo del SIFAR fu presa con l'approvazione del Capo di S.M. della Difesa, e che l'iniziativa assicura a quest'ultimo, per l'eventualità dell'emergenza, quella che il testo chiama una leva di lungo braccio e di grande portata. L'arco è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all'esistenza e alla forma; nulla si afferma quanto al suo esercizio, che il documento non tratta.</w:t>
      </w:r>
    </w:p>
    <w:p>
      <w:pPr>
        <w:spacing w:line="276" w:lineRule="auto" w:after="60" w:before="0"/>
        <w:ind w:firstLine="425"/>
        <w:jc w:val="both"/>
      </w:pPr>
      <w:r>
        <w:rPr>
          <w:rFonts w:ascii="Times New Roman" w:hAnsi="Times New Roman" w:cs="Times New Roman" w:eastAsia="Times New Roman"/>
          <w:b/>
          <w:sz w:val="24"/>
        </w:rPr>
        <w:t>Arco secondo, Dominio terzo italiano per Dominio terzo statunitense, tipo di cooperazione formalizzata.</w:t>
      </w:r>
      <w:r>
        <w:rPr>
          <w:rFonts w:ascii="Times New Roman" w:hAnsi="Times New Roman" w:cs="Times New Roman" w:eastAsia="Times New Roman"/>
          <w:b w:val="0"/>
          <w:sz w:val="24"/>
        </w:rPr>
        <w:t xml:space="preserve"> L'accordo del ventisei novembre millenovecentocinquantasei è nominato, datato e titolato; l'assetto è bilaterale e paritario nella formulazione, con reciprocità dichiarata di impegni.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all'esistenza dell'atto e al suo titolo;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quanto ai contenuti, poiché l'atto stesso — allegato numero uno — non è pervenuto.</w:t>
      </w:r>
    </w:p>
    <w:p>
      <w:pPr>
        <w:spacing w:line="276" w:lineRule="auto" w:after="60" w:before="0"/>
        <w:ind w:firstLine="425"/>
        <w:jc w:val="both"/>
      </w:pPr>
      <w:r>
        <w:rPr>
          <w:rFonts w:ascii="Times New Roman" w:hAnsi="Times New Roman" w:cs="Times New Roman" w:eastAsia="Times New Roman"/>
          <w:b/>
          <w:sz w:val="24"/>
        </w:rPr>
        <w:t>Arco terzo, Dominio terzo per Dominio settimo, tipo di predisposizione operativa.</w:t>
      </w:r>
      <w:r>
        <w:rPr>
          <w:rFonts w:ascii="Times New Roman" w:hAnsi="Times New Roman" w:cs="Times New Roman" w:eastAsia="Times New Roman"/>
          <w:b w:val="0"/>
          <w:sz w:val="24"/>
        </w:rPr>
        <w:t xml:space="preserve"> Il Servizio dispone la costituzione di nuclei di sabotaggio, propaganda e guerriglia e di unità territoriali armate, precostituite fin dal tempo di pace anziché lanciate o infiltrate al momento dell'emergenza. La formulazione è testuale e va citata con la sua clausola condizionale: le predisposizioni sono riferite all'ipotesi di occupazione o sovvertimento.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alla predisposizione, e nulla oltre: nessun impiego è documentato dal testo, e nessuno se ne può inferire.</w:t>
      </w:r>
    </w:p>
    <w:p>
      <w:pPr>
        <w:spacing w:line="276" w:lineRule="auto" w:after="60" w:before="0"/>
        <w:ind w:firstLine="425"/>
        <w:jc w:val="both"/>
      </w:pPr>
      <w:r>
        <w:rPr>
          <w:rFonts w:ascii="Times New Roman" w:hAnsi="Times New Roman" w:cs="Times New Roman" w:eastAsia="Times New Roman"/>
          <w:b/>
          <w:sz w:val="24"/>
        </w:rPr>
        <w:t>Arco quarto, migrazione di formazione, Dominio settimo per Dominio terzo.</w:t>
      </w:r>
      <w:r>
        <w:rPr>
          <w:rFonts w:ascii="Times New Roman" w:hAnsi="Times New Roman" w:cs="Times New Roman" w:eastAsia="Times New Roman"/>
          <w:b w:val="0"/>
          <w:sz w:val="24"/>
        </w:rPr>
        <w:t xml:space="preserve"> Le unità di pronto impiego sono dichiarate riallacciate a organizzazioni preesistenti: </w:t>
      </w:r>
      <w:r>
        <w:rPr>
          <w:rFonts w:ascii="Times New Roman" w:hAnsi="Times New Roman" w:cs="Times New Roman" w:eastAsia="Times New Roman"/>
          <w:b/>
          <w:sz w:val="24"/>
        </w:rPr>
        <w:t>OSOPPO</w:t>
      </w:r>
      <w:r>
        <w:rPr>
          <w:rFonts w:ascii="Times New Roman" w:hAnsi="Times New Roman" w:cs="Times New Roman" w:eastAsia="Times New Roman"/>
          <w:b w:val="0"/>
          <w:sz w:val="24"/>
        </w:rPr>
        <w:t xml:space="preserve"> per la Stella Alpina, </w:t>
      </w:r>
      <w:r>
        <w:rPr>
          <w:rFonts w:ascii="Times New Roman" w:hAnsi="Times New Roman" w:cs="Times New Roman" w:eastAsia="Times New Roman"/>
          <w:b/>
          <w:sz w:val="24"/>
        </w:rPr>
        <w:t>GIGLIO</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GIGLIO II</w:t>
      </w:r>
      <w:r>
        <w:rPr>
          <w:rFonts w:ascii="Times New Roman" w:hAnsi="Times New Roman" w:cs="Times New Roman" w:eastAsia="Times New Roman"/>
          <w:b w:val="0"/>
          <w:sz w:val="24"/>
        </w:rPr>
        <w:t xml:space="preserve"> per la Stella Marina. È il passaggio di formazioni nate in altro contesto e in altro tempo dentro una struttura di servizio in tempo di pace: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 riallaccio dichiarato,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quanto alle modalità, alla continuità di persone e alla natura giuridica del passaggio, che il documento non descrive.</w:t>
      </w:r>
    </w:p>
    <w:p>
      <w:pPr>
        <w:spacing w:line="276" w:lineRule="auto" w:after="60" w:before="0"/>
        <w:ind w:firstLine="425"/>
        <w:jc w:val="both"/>
      </w:pPr>
      <w:r>
        <w:rPr>
          <w:rFonts w:ascii="Times New Roman" w:hAnsi="Times New Roman" w:cs="Times New Roman" w:eastAsia="Times New Roman"/>
          <w:b/>
          <w:sz w:val="24"/>
        </w:rPr>
        <w:t>Arco quinto, Dominio settimo per Dominio settimo transnazionale, tipo di trasferimento tecnico.</w:t>
      </w:r>
      <w:r>
        <w:rPr>
          <w:rFonts w:ascii="Times New Roman" w:hAnsi="Times New Roman" w:cs="Times New Roman" w:eastAsia="Times New Roman"/>
          <w:b w:val="0"/>
          <w:sz w:val="24"/>
        </w:rPr>
        <w:t xml:space="preserve"> La fonte sulle FARC riferisce la richiesta di assistenza rivolta nel millenovecentonovantasette all'organizzazione nordirlandese per l'addestramento agli esplosivi, con quattro occorrenze della sigla, e l'arrivo di tre esperti in Colombia. </w:t>
      </w:r>
      <w:r>
        <w:rPr>
          <w:rFonts w:ascii="Times New Roman" w:hAnsi="Times New Roman" w:cs="Times New Roman" w:eastAsia="Times New Roman"/>
          <w:b/>
          <w:sz w:val="24"/>
        </w:rPr>
        <w:t>Savona C</w:t>
      </w:r>
      <w:r>
        <w:rPr>
          <w:rFonts w:ascii="Times New Roman" w:hAnsi="Times New Roman" w:cs="Times New Roman" w:eastAsia="Times New Roman"/>
          <w:b w:val="0"/>
          <w:sz w:val="24"/>
        </w:rPr>
        <w:t>, poiché la fonte rinvia a materiale giornalistico; elevabile per risalita agli atti del procedimento colombiano del duemilauno.</w:t>
      </w:r>
    </w:p>
    <w:p>
      <w:pPr>
        <w:spacing w:line="276" w:lineRule="auto" w:after="60" w:before="0"/>
        <w:ind w:firstLine="425"/>
        <w:jc w:val="both"/>
      </w:pPr>
      <w:r>
        <w:rPr>
          <w:rFonts w:ascii="Times New Roman" w:hAnsi="Times New Roman" w:cs="Times New Roman" w:eastAsia="Times New Roman"/>
          <w:b/>
          <w:sz w:val="24"/>
        </w:rPr>
        <w:t>Arco sesto, Dominio settimo per competenze estere, tipo di acquisizione di perizia.</w:t>
      </w:r>
      <w:r>
        <w:rPr>
          <w:rFonts w:ascii="Times New Roman" w:hAnsi="Times New Roman" w:cs="Times New Roman" w:eastAsia="Times New Roman"/>
          <w:b w:val="0"/>
          <w:sz w:val="24"/>
        </w:rPr>
        <w:t xml:space="preserve"> La medesima fonte riferisce l'impiego di ingegneri navali russi, srilankesi e pakistani nella progettazione e costruzione dei natanti, e riporta altresì che quattro ingegneri navali interdetti nel duemilaotto dichiararono di essere stati rapiti e costretti a collaborare.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su entrambe le proposizioni, che la fonte attribuisce a rapporti di polizia e a testimonianze non altrimenti riscontrate. L'arco è tuttavia il più rilevante del documento per l'opera, poiché documenta — se confermato — un canale di diffusione tecnica fra continenti che passa per competenze militari statali.</w:t>
      </w:r>
    </w:p>
    <w:p>
      <w:pPr>
        <w:spacing w:line="276" w:lineRule="auto" w:after="60" w:before="0"/>
        <w:ind w:firstLine="425"/>
        <w:jc w:val="both"/>
      </w:pPr>
      <w:r>
        <w:rPr>
          <w:rFonts w:ascii="Times New Roman" w:hAnsi="Times New Roman" w:cs="Times New Roman" w:eastAsia="Times New Roman"/>
          <w:b/>
          <w:sz w:val="24"/>
        </w:rPr>
        <w:t>Arco settimo, Dominio settimo per Dominio primo, tipo di committenza.</w:t>
      </w:r>
      <w:r>
        <w:rPr>
          <w:rFonts w:ascii="Times New Roman" w:hAnsi="Times New Roman" w:cs="Times New Roman" w:eastAsia="Times New Roman"/>
          <w:b w:val="0"/>
          <w:sz w:val="24"/>
        </w:rPr>
        <w:t xml:space="preserve"> La medesima fonte riferisce che il cartello del Norte del Valle avrebbe concepito per primo l'idea senza possedere mezzi e competenze per attuarla, e che i natanti sarebbero stati venduti o noleggiati ad altre organizzazioni collaboranti. </w:t>
      </w:r>
      <w:r>
        <w:rPr>
          <w:rFonts w:ascii="Times New Roman" w:hAnsi="Times New Roman" w:cs="Times New Roman" w:eastAsia="Times New Roman"/>
          <w:b/>
          <w:sz w:val="24"/>
        </w:rPr>
        <w:t>Savona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Arco ottavo, Dominio settimo italiano per Dominio settimo mediorientale, tipo di approvvigionamento.</w:t>
      </w:r>
      <w:r>
        <w:rPr>
          <w:rFonts w:ascii="Times New Roman" w:hAnsi="Times New Roman" w:cs="Times New Roman" w:eastAsia="Times New Roman"/>
          <w:b w:val="0"/>
          <w:sz w:val="24"/>
        </w:rPr>
        <w:t xml:space="preserve"> La fonte terziaria riferisce che le armi rinvenute in un appartamento nel duemilatré sarebbero riconducibili a legami anteriori con l'organizzazione palestinese. </w:t>
      </w:r>
      <w:r>
        <w:rPr>
          <w:rFonts w:ascii="Times New Roman" w:hAnsi="Times New Roman" w:cs="Times New Roman" w:eastAsia="Times New Roman"/>
          <w:b/>
          <w:sz w:val="24"/>
        </w:rPr>
        <w:t>Savona C</w:t>
      </w:r>
      <w:r>
        <w:rPr>
          <w:rFonts w:ascii="Times New Roman" w:hAnsi="Times New Roman" w:cs="Times New Roman" w:eastAsia="Times New Roman"/>
          <w:b w:val="0"/>
          <w:sz w:val="24"/>
        </w:rPr>
        <w:t xml:space="preserve"> con marcatura di prudenza rafforzata: la fonte usa il condizionale, non indica atto, e incorre nel medesimo luogo in un errore di attribuzione che la Parte quinta registra.</w:t>
      </w:r>
    </w:p>
    <w:p>
      <w:pPr>
        <w:spacing w:line="276" w:lineRule="auto" w:after="60" w:before="0"/>
        <w:ind w:firstLine="425"/>
        <w:jc w:val="both"/>
      </w:pPr>
      <w:r>
        <w:rPr>
          <w:rFonts w:ascii="Times New Roman" w:hAnsi="Times New Roman" w:cs="Times New Roman" w:eastAsia="Times New Roman"/>
          <w:b/>
          <w:sz w:val="24"/>
        </w:rPr>
        <w:t>Arco nono, statuto conteso.</w:t>
      </w:r>
      <w:r>
        <w:rPr>
          <w:rFonts w:ascii="Times New Roman" w:hAnsi="Times New Roman" w:cs="Times New Roman" w:eastAsia="Times New Roman"/>
          <w:b w:val="0"/>
          <w:sz w:val="24"/>
        </w:rPr>
        <w:t xml:space="preserve"> La fonte terziaria riporta due proposizioni che il presente registro iscrive esclusivamente con </w:t>
      </w:r>
      <w:r>
        <w:rPr>
          <w:rFonts w:ascii="Times New Roman" w:hAnsi="Times New Roman" w:cs="Times New Roman" w:eastAsia="Times New Roman"/>
          <w:b/>
          <w:sz w:val="24"/>
        </w:rPr>
        <w:t>marcatura di statuto conteso</w:t>
      </w:r>
      <w:r>
        <w:rPr>
          <w:rFonts w:ascii="Times New Roman" w:hAnsi="Times New Roman" w:cs="Times New Roman" w:eastAsia="Times New Roman"/>
          <w:b w:val="0"/>
          <w:sz w:val="24"/>
        </w:rPr>
        <w:t xml:space="preserve">, ossia come credenze attribuite e non come fatti: la prima, che gli arresti del millenovecentosettantasei sarebbero derivati da infiltrazione, secondo quanto i fondatori arrestati ritenevano; la seconda, che il rifiuto di trattare nel millenovecentosettantotto si spiegherebbe con la conoscenza da parte del prigioniero della rete stay-behind. Entrambe restano </w:t>
      </w:r>
      <w:r>
        <w:rPr>
          <w:rFonts w:ascii="Times New Roman" w:hAnsi="Times New Roman" w:cs="Times New Roman" w:eastAsia="Times New Roman"/>
          <w:b/>
          <w:sz w:val="24"/>
        </w:rPr>
        <w:t>Savona C sotto statuto conteso</w:t>
      </w:r>
      <w:r>
        <w:rPr>
          <w:rFonts w:ascii="Times New Roman" w:hAnsi="Times New Roman" w:cs="Times New Roman" w:eastAsia="Times New Roman"/>
          <w:b w:val="0"/>
          <w:sz w:val="24"/>
        </w:rPr>
        <w:t>, e nessuna delle due può essere adoperata in alcuna inferenza finché non risalga a fonte propria. Il registro segnala, per dovere di stratigrafia, che la seconda proposizione mette in relazione il documento primario di questo stesso corpus con il caso moroteo, e che tale relazione è esattamente il punto dove la cautela deve essere massima: la contiguità di due materiali dentro un medesimo corpus non è un arco, e la convergenza va misurata e mai presunta.</w:t>
      </w:r>
    </w:p>
    <w:p>
      <w:pPr>
        <w:spacing w:line="276" w:lineRule="auto" w:after="80" w:before="200"/>
        <w:ind w:firstLine="0"/>
        <w:jc w:val="both"/>
      </w:pPr>
      <w:r>
        <w:rPr>
          <w:rFonts w:ascii="Times New Roman" w:hAnsi="Times New Roman" w:cs="Times New Roman" w:eastAsia="Times New Roman"/>
          <w:b/>
          <w:sz w:val="24"/>
        </w:rPr>
        <w:t>PARTE QUARTA — I PATTERN RILEVATI</w:t>
      </w:r>
    </w:p>
    <w:p>
      <w:pPr>
        <w:spacing w:line="276" w:lineRule="auto" w:after="60" w:before="0"/>
        <w:ind w:firstLine="425"/>
        <w:jc w:val="both"/>
      </w:pPr>
      <w:r>
        <w:rPr>
          <w:rFonts w:ascii="Times New Roman" w:hAnsi="Times New Roman" w:cs="Times New Roman" w:eastAsia="Times New Roman"/>
          <w:b/>
          <w:sz w:val="24"/>
        </w:rPr>
        <w:t>Pattern terzo, addensamento temporale.</w:t>
      </w:r>
      <w:r>
        <w:rPr>
          <w:rFonts w:ascii="Times New Roman" w:hAnsi="Times New Roman" w:cs="Times New Roman" w:eastAsia="Times New Roman"/>
          <w:b w:val="0"/>
          <w:sz w:val="24"/>
        </w:rPr>
        <w:t xml:space="preserve"> Il documento primario colloca in trentun mesi la sequenza costituzione della Sezione, accordo bilaterale, precisazione statunitense, e in altri venti la relazione sullo stato. L'addensamento è reale ma privo, allo stato, di significatività calcolata: il registro lo iscrive come dato e non come indizio, in ossequio al criterio che una coincidenza temporale è significativa solo quando la probabilità che si verifichi per caso sia stata effettivamente misurata.</w:t>
      </w:r>
    </w:p>
    <w:p>
      <w:pPr>
        <w:spacing w:line="276" w:lineRule="auto" w:after="60" w:before="0"/>
        <w:ind w:firstLine="425"/>
        <w:jc w:val="both"/>
      </w:pPr>
      <w:r>
        <w:rPr>
          <w:rFonts w:ascii="Times New Roman" w:hAnsi="Times New Roman" w:cs="Times New Roman" w:eastAsia="Times New Roman"/>
          <w:b/>
          <w:sz w:val="24"/>
        </w:rPr>
        <w:t>Pattern settimo, migrazione inter-dominio.</w:t>
      </w:r>
      <w:r>
        <w:rPr>
          <w:rFonts w:ascii="Times New Roman" w:hAnsi="Times New Roman" w:cs="Times New Roman" w:eastAsia="Times New Roman"/>
          <w:b w:val="0"/>
          <w:sz w:val="24"/>
        </w:rPr>
        <w:t xml:space="preserve"> Due corridoi sono attestati nel corpus. Il primo è il riallaccio delle formazioni del quarantatré-quarantacinque dentro la struttura del cinquantanove, che è migrazione da un dominio di violenza politica a un dominio di servizio. Il secondo è il reclutamento, riferito dalla fonte colombiana, di appartenenti alla marina militare da parte dell'organizzazione armata, verso compenso: migrazione dal Dominio nono al Dominio settimo. Il primo è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quanto al riallaccio, il secondo </w:t>
      </w:r>
      <w:r>
        <w:rPr>
          <w:rFonts w:ascii="Times New Roman" w:hAnsi="Times New Roman" w:cs="Times New Roman" w:eastAsia="Times New Roman"/>
          <w:b/>
          <w:sz w:val="24"/>
        </w:rPr>
        <w:t>Savona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Pattern decimo, sovrapposizione spaziale.</w:t>
      </w:r>
      <w:r>
        <w:rPr>
          <w:rFonts w:ascii="Times New Roman" w:hAnsi="Times New Roman" w:cs="Times New Roman" w:eastAsia="Times New Roman"/>
          <w:b w:val="0"/>
          <w:sz w:val="24"/>
        </w:rPr>
        <w:t xml:space="preserve"> Due zone di convergenza emergono. La Sardegna, dove coincidono base dell'operazione, presupposto della pianificazione italiana e piani di guerra dell'alleato: convergenza attestata testualmente, </w:t>
      </w:r>
      <w:r>
        <w:rPr>
          <w:rFonts w:ascii="Times New Roman" w:hAnsi="Times New Roman" w:cs="Times New Roman" w:eastAsia="Times New Roman"/>
          <w:b/>
          <w:sz w:val="24"/>
        </w:rPr>
        <w:t>Savona A</w:t>
      </w:r>
      <w:r>
        <w:rPr>
          <w:rFonts w:ascii="Times New Roman" w:hAnsi="Times New Roman" w:cs="Times New Roman" w:eastAsia="Times New Roman"/>
          <w:b w:val="0"/>
          <w:sz w:val="24"/>
        </w:rPr>
        <w:t xml:space="preserve">, e con la sola avvertenza che la convergenza spaziale è indicatore e mai prova. La costa pacifica colombiana con le mangrovie, dove coincidono difficoltà di accesso, cantieristica clandestina e via d'uscita al mare: </w:t>
      </w:r>
      <w:r>
        <w:rPr>
          <w:rFonts w:ascii="Times New Roman" w:hAnsi="Times New Roman" w:cs="Times New Roman" w:eastAsia="Times New Roman"/>
          <w:b/>
          <w:sz w:val="24"/>
        </w:rPr>
        <w:t>Savona B</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Pattern undicesimo, isomorfismo strutturale.</w:t>
      </w:r>
      <w:r>
        <w:rPr>
          <w:rFonts w:ascii="Times New Roman" w:hAnsi="Times New Roman" w:cs="Times New Roman" w:eastAsia="Times New Roman"/>
          <w:b w:val="0"/>
          <w:sz w:val="24"/>
        </w:rPr>
        <w:t xml:space="preserve"> Il corpus consente il confronto fra due topologie clandestine descritte da fonti indipendenti e distanti: la struttura della Sezione «SAD» — vertice ristretto di coordinamento, gruppi funzionali, branche distinte per informazioni, sabotaggio, propaganda, evasione e guerriglia, unità territoriali — e la struttura descritta per l'organizzazione armata italiana degli anni Settanta — direzione strategica, comitato esecutivo, colonne territoriali, fronti distinti per logistica, propaganda e reclutamento. La somiglianza topologica è reale: nucleo centrale ristretto, compartimentazione verticale, articolazione funzionale per branche omologhe. Il registro applica la regola e formula </w:t>
      </w:r>
      <w:r>
        <w:rPr>
          <w:rFonts w:ascii="Times New Roman" w:hAnsi="Times New Roman" w:cs="Times New Roman" w:eastAsia="Times New Roman"/>
          <w:b/>
          <w:sz w:val="24"/>
        </w:rPr>
        <w:t>quattro ipotesi concorrenti</w:t>
      </w:r>
      <w:r>
        <w:rPr>
          <w:rFonts w:ascii="Times New Roman" w:hAnsi="Times New Roman" w:cs="Times New Roman" w:eastAsia="Times New Roman"/>
          <w:b w:val="0"/>
          <w:sz w:val="24"/>
        </w:rPr>
        <w:t>, senza sceglierne alcuna: origine comune; necessità funzionale, per cui la forma è la più efficiente per il compito clandestino e sorge ovunque il compito si ponga; convergenza indipendente sotto pressioni ambientali simili; artefatto della griglia descrittiva, ossia somiglianza prodotta dal fatto che entrambe le fonti descrivono per categorie militari. La quarta ipotesi è, allo stato del corpus, la meno contraddetta, poiché una delle due descrizioni proviene da autore militare che adopera esplicitamente il paragone con l'unità dell'esercito. Nessuna inferenza discende da questo pattern.</w:t>
      </w:r>
    </w:p>
    <w:p>
      <w:pPr>
        <w:spacing w:line="276" w:lineRule="auto" w:after="60" w:before="0"/>
        <w:ind w:firstLine="425"/>
        <w:jc w:val="both"/>
      </w:pPr>
      <w:r>
        <w:rPr>
          <w:rFonts w:ascii="Times New Roman" w:hAnsi="Times New Roman" w:cs="Times New Roman" w:eastAsia="Times New Roman"/>
          <w:b/>
          <w:sz w:val="24"/>
        </w:rPr>
        <w:t>Pattern diciassettesimo, contaminazione della fonte.</w:t>
      </w:r>
      <w:r>
        <w:rPr>
          <w:rFonts w:ascii="Times New Roman" w:hAnsi="Times New Roman" w:cs="Times New Roman" w:eastAsia="Times New Roman"/>
          <w:b w:val="0"/>
          <w:sz w:val="24"/>
        </w:rPr>
        <w:t xml:space="preserve"> La fonte terziaria reca imprecisioni fattuali che il registro elenca per dovere e che ne determinano la marcatura: attribuisce al prigioniero del settantotto la qualifica di capo del governo in carica; colloca la morte di una delle fondatrici immediatamente dopo un arresto; confonde, nel riferire il conflitto del duemilatré, il nome della vittima di un omicidio anteriore con l'intestazione dell'appartamento perquisito; e attribuisce a un'intervista di data anteriore una dichiarazione ministeriale successiva. Quattro imprecisioni verificabili in un testo di quattromilasettecento parole determinano </w:t>
      </w:r>
      <w:r>
        <w:rPr>
          <w:rFonts w:ascii="Times New Roman" w:hAnsi="Times New Roman" w:cs="Times New Roman" w:eastAsia="Times New Roman"/>
          <w:b/>
          <w:sz w:val="24"/>
        </w:rPr>
        <w:t>Indice di Contaminazione pari a tre</w:t>
      </w:r>
      <w:r>
        <w:rPr>
          <w:rFonts w:ascii="Times New Roman" w:hAnsi="Times New Roman" w:cs="Times New Roman" w:eastAsia="Times New Roman"/>
          <w:b w:val="0"/>
          <w:sz w:val="24"/>
        </w:rPr>
        <w:t>, con la conseguenza che le dichiarazioni non riscontrate provenienti da questa fonte sono inammissibili a fondamento e che ogni voce da essa derivata porta marcatura permanente.</w:t>
      </w:r>
    </w:p>
    <w:p>
      <w:pPr>
        <w:spacing w:line="276" w:lineRule="auto" w:after="80" w:before="200"/>
        <w:ind w:firstLine="0"/>
        <w:jc w:val="both"/>
      </w:pPr>
      <w:r>
        <w:rPr>
          <w:rFonts w:ascii="Times New Roman" w:hAnsi="Times New Roman" w:cs="Times New Roman" w:eastAsia="Times New Roman"/>
          <w:b/>
          <w:sz w:val="24"/>
        </w:rPr>
        <w:t>PARTE QUINTA — LE LACUNE E LE CONSEGNE</w:t>
      </w:r>
    </w:p>
    <w:p>
      <w:pPr>
        <w:spacing w:line="276" w:lineRule="auto" w:after="60" w:before="0"/>
        <w:ind w:firstLine="425"/>
        <w:jc w:val="both"/>
      </w:pPr>
      <w:r>
        <w:rPr>
          <w:rFonts w:ascii="Times New Roman" w:hAnsi="Times New Roman" w:cs="Times New Roman" w:eastAsia="Times New Roman"/>
          <w:b/>
          <w:sz w:val="24"/>
        </w:rPr>
        <w:t>I nove allegati non pervenuti.</w:t>
      </w:r>
      <w:r>
        <w:rPr>
          <w:rFonts w:ascii="Times New Roman" w:hAnsi="Times New Roman" w:cs="Times New Roman" w:eastAsia="Times New Roman"/>
          <w:b w:val="0"/>
          <w:sz w:val="24"/>
        </w:rPr>
        <w:t xml:space="preserve"> Il documento primario cita nove allegati numerati, e nessuno di essi è pervenuto: l'accordo bilaterale del ventisei novembre millenovecentocinquantasei, il testo su finalità e principi organizzativi delle operazioni stay-behind, la bozza del manuale, lo schema di massima, il piano organizzativo, il piano di sicurezza, il programma di reclutamento, il piano degli addestramenti, e il documento sulla consistenza patrimoniale. È il </w:t>
      </w:r>
      <w:r>
        <w:rPr>
          <w:rFonts w:ascii="Times New Roman" w:hAnsi="Times New Roman" w:cs="Times New Roman" w:eastAsia="Times New Roman"/>
          <w:b/>
          <w:sz w:val="24"/>
        </w:rPr>
        <w:t>bordo del rimosso</w:t>
      </w:r>
      <w:r>
        <w:rPr>
          <w:rFonts w:ascii="Times New Roman" w:hAnsi="Times New Roman" w:cs="Times New Roman" w:eastAsia="Times New Roman"/>
          <w:b w:val="0"/>
          <w:sz w:val="24"/>
        </w:rPr>
        <w:t xml:space="preserve"> più netto di tutto il corpus, ed è attestato dalla fonte stessa che lo nomina: la sequenza esiste, è numerata, ed è assente. Si consegna al Registro di Scavo quale bersaglio d'assedio e al Registro Speculare quale voce del censimento dei bordi, secondo il segnale di bordo del Protocollo dei Passaggi.</w:t>
      </w:r>
    </w:p>
    <w:p>
      <w:pPr>
        <w:spacing w:line="276" w:lineRule="auto" w:after="60" w:before="0"/>
        <w:ind w:firstLine="425"/>
        <w:jc w:val="both"/>
      </w:pPr>
      <w:r>
        <w:rPr>
          <w:rFonts w:ascii="Times New Roman" w:hAnsi="Times New Roman" w:cs="Times New Roman" w:eastAsia="Times New Roman"/>
          <w:b/>
          <w:sz w:val="24"/>
        </w:rPr>
        <w:t>Gli otto oscuramenti.</w:t>
      </w:r>
      <w:r>
        <w:rPr>
          <w:rFonts w:ascii="Times New Roman" w:hAnsi="Times New Roman" w:cs="Times New Roman" w:eastAsia="Times New Roman"/>
          <w:b w:val="0"/>
          <w:sz w:val="24"/>
        </w:rPr>
        <w:t xml:space="preserve"> Le porzioni coperte sull'originale sono otto e colpiscono esclusivamente ubicazioni e denominazioni di installazioni e unità territoriali, senza toccare in alcun punto struttura, funzioni, contingenti, rapporto con il Servizio alleato o cifre di bilancio. Il criterio è di sicurezza topografica e non organizzativa. Si consegna come marcatore di silenziamento al medesimo censimento.</w:t>
      </w:r>
    </w:p>
    <w:p>
      <w:pPr>
        <w:spacing w:line="276" w:lineRule="auto" w:after="60" w:before="0"/>
        <w:ind w:firstLine="425"/>
        <w:jc w:val="both"/>
      </w:pPr>
      <w:r>
        <w:rPr>
          <w:rFonts w:ascii="Times New Roman" w:hAnsi="Times New Roman" w:cs="Times New Roman" w:eastAsia="Times New Roman"/>
          <w:b/>
          <w:sz w:val="24"/>
        </w:rPr>
        <w:t>Le tre porzioni non decifrabili.</w:t>
      </w:r>
      <w:r>
        <w:rPr>
          <w:rFonts w:ascii="Times New Roman" w:hAnsi="Times New Roman" w:cs="Times New Roman" w:eastAsia="Times New Roman"/>
          <w:b w:val="0"/>
          <w:sz w:val="24"/>
        </w:rPr>
        <w:t xml:space="preserve"> La prima riga della carta quinta, l'annotazione manoscritta sotto il bilancio di previsione, e la chiusa della carta tredicesima. Si consegnano quali bersagli di lettura su riproduzione di qualità superiore, ossia quale segnale di terreno.</w:t>
      </w:r>
    </w:p>
    <w:p>
      <w:pPr>
        <w:spacing w:line="276" w:lineRule="auto" w:after="60" w:before="0"/>
        <w:ind w:firstLine="425"/>
        <w:jc w:val="both"/>
      </w:pPr>
      <w:r>
        <w:rPr>
          <w:rFonts w:ascii="Times New Roman" w:hAnsi="Times New Roman" w:cs="Times New Roman" w:eastAsia="Times New Roman"/>
          <w:b/>
          <w:sz w:val="24"/>
        </w:rPr>
        <w:t>I nomi raggiunti e non letti.</w:t>
      </w:r>
      <w:r>
        <w:rPr>
          <w:rFonts w:ascii="Times New Roman" w:hAnsi="Times New Roman" w:cs="Times New Roman" w:eastAsia="Times New Roman"/>
          <w:b w:val="0"/>
          <w:sz w:val="24"/>
        </w:rPr>
        <w:t xml:space="preserve"> Dal corpus emergono elementi nominali privi di dossier proprio, che si consegnano al Registro Genetico quali elementi della prima classe: il contributore civile della cantieristica colombiana e il trafficante nominato nell'apparato di quella fonte; i tre esperti stranieri dell'addestramento del novantasette; i quattro ingegneri navali interdetti nel duemilaotto. Nessuno di essi è nodo, e nessuno lo diventa prima della lettura.</w:t>
      </w:r>
    </w:p>
    <w:p>
      <w:pPr>
        <w:spacing w:line="276" w:lineRule="auto" w:after="60" w:before="0"/>
        <w:ind w:firstLine="425"/>
        <w:jc w:val="both"/>
      </w:pPr>
      <w:r>
        <w:rPr>
          <w:rFonts w:ascii="Times New Roman" w:hAnsi="Times New Roman" w:cs="Times New Roman" w:eastAsia="Times New Roman"/>
          <w:b/>
          <w:sz w:val="24"/>
        </w:rPr>
        <w:t>La verifica dovuta.</w:t>
      </w:r>
      <w:r>
        <w:rPr>
          <w:rFonts w:ascii="Times New Roman" w:hAnsi="Times New Roman" w:cs="Times New Roman" w:eastAsia="Times New Roman"/>
          <w:b w:val="0"/>
          <w:sz w:val="24"/>
        </w:rPr>
        <w:t xml:space="preserve"> Il presente registro non pronuncia alcuno stato: le sue voci sono attestazioni con grado, e ogni mutazione di stato spetta al Registro Analitico del caso competente. Nessuna voce qui iscritta è stata elevata di grado per contiguità con altre voci del medesimo corpus, e la convergenza fra il documento primario e le fonti secondarie, dove esista, è stata registrata come da misurare.</w:t>
      </w:r>
    </w:p>
    <w:p>
      <w:pPr>
        <w:spacing w:line="276" w:lineRule="auto" w:after="80" w:before="200"/>
        <w:ind w:firstLine="0"/>
        <w:jc w:val="both"/>
      </w:pPr>
      <w:r>
        <w:rPr>
          <w:rFonts w:ascii="Times New Roman" w:hAnsi="Times New Roman" w:cs="Times New Roman" w:eastAsia="Times New Roman"/>
          <w:b/>
          <w:sz w:val="24"/>
        </w:rPr>
        <w:t>COLOPHON</w:t>
      </w:r>
    </w:p>
    <w:p>
      <w:pPr>
        <w:spacing w:line="276" w:lineRule="auto" w:after="60" w:before="0"/>
        <w:ind w:firstLine="425"/>
        <w:jc w:val="both"/>
      </w:pPr>
      <w:r>
        <w:rPr>
          <w:rFonts w:ascii="Times New Roman" w:hAnsi="Times New Roman" w:cs="Times New Roman" w:eastAsia="Times New Roman"/>
          <w:b w:val="0"/>
          <w:sz w:val="24"/>
        </w:rPr>
        <w:t>ITALIA NERA, REGISTRO ANALITICO DEI NODI, corpus dei cinque documenti estratti, prodotto il due agosto duemilaventisei secondo il Protocollo Zero-Token e nello standard tipografico dell'opera: carattere Times New Roman di corpo dodici, formato A4, giustificazione integrale, rientro di prima riga, interlinea di uno virgola quindici, prosa continua, numeri in lettere. Il registro censisce i nodi e gli archi attestati nel rapporto SIFAR del primo giugno millenovecentocinquantanove e nei quattro articoli accademici estratti nella medesima sessione, con classificazione secondo il Sistema Savona, marcatura di statuto conteso dove la fonte riporta credenze altrui, Indice di Contaminazione pari a tre per la fonte terziaria, accertamento negativo di Livello A per l'assenza integrale di nomi propri di persona nel documento primario, e consegne ai Registri competenti secondo il Protocollo dei Passaggi. I prodotti del lavoro non sono fonti del lavoro: il presente registro non è citabile come fonte primaria di ciò che asserisce.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