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talia-nera"/>
    <w:p>
      <w:pPr>
        <w:pStyle w:val="Heading1"/>
      </w:pPr>
      <w:r>
        <w:t xml:space="preserve">ITALIA NERA</w:t>
      </w:r>
    </w:p>
    <w:bookmarkStart w:id="21" w:name="registro-analitico-dei-nodi"/>
    <w:p>
      <w:pPr>
        <w:pStyle w:val="Heading2"/>
      </w:pPr>
      <w:r>
        <w:t xml:space="preserve">REGISTRO ANALITICO DEI NODI</w:t>
      </w:r>
    </w:p>
    <w:bookmarkStart w:id="20" w:name="X6ea665483c41b87d89fe5a4e4c28770b4315c7b"/>
    <w:p>
      <w:pPr>
        <w:pStyle w:val="Heading3"/>
      </w:pPr>
      <w:r>
        <w:t xml:space="preserve">Unità di sessione — Aginter Press e i Paesi Sunniti filo-sovietici</w:t>
      </w:r>
    </w:p>
    <w:p>
      <w:pPr>
        <w:pStyle w:val="FirstParagraph"/>
      </w:pPr>
      <w:r>
        <w:rPr>
          <w:iCs/>
          <w:i/>
        </w:rPr>
        <w:t xml:space="preserve">Estrazione integrale della memoria operativa di sessione</w:t>
      </w:r>
    </w:p>
    <w:p>
      <w:pPr>
        <w:pStyle w:val="BodyText"/>
      </w:pPr>
      <w:r>
        <w:rPr>
          <w:iCs/>
          <w:i/>
        </w:rPr>
        <w:t xml:space="preserve">Standard probatorio Savona A/B/C — Framework dei Dieci Domini di Potere D1–D10 — Undici Pattern analitici</w:t>
      </w:r>
    </w:p>
    <w:p>
      <w:pPr>
        <w:pStyle w:val="BodyText"/>
      </w:pPr>
      <w:r>
        <w:rPr>
          <w:bCs/>
          <w:b/>
        </w:rPr>
        <w:t xml:space="preserve">Luigi De Michele</w:t>
      </w:r>
    </w:p>
    <w:p>
      <w:pPr>
        <w:pStyle w:val="BodyText"/>
      </w:pPr>
      <w:r>
        <w:t xml:space="preserve">4 agosto 2026</w:t>
      </w:r>
    </w:p>
    <w:p>
      <w:r>
        <w:pict>
          <v:rect style="width:0;height:1.5pt" o:hralign="center" o:hrstd="t" o:hr="t"/>
        </w:pict>
      </w:r>
    </w:p>
    <w:bookmarkEnd w:id="20"/>
    <w:bookmarkEnd w:id="21"/>
    <w:bookmarkEnd w:id="22"/>
    <w:bookmarkStart w:id="26" w:name="X0a5b8d609db75c7fd5bbde522e6e8ddbb45e37d"/>
    <w:p>
      <w:pPr>
        <w:pStyle w:val="Heading1"/>
      </w:pPr>
      <w:r>
        <w:t xml:space="preserve">NOTA DI APERTURA — OGGETTO, PERIMETRO E STATUTO DELL’UNITÀ</w:t>
      </w:r>
    </w:p>
    <w:bookmarkStart w:id="23" w:name="oggetto"/>
    <w:p>
      <w:pPr>
        <w:pStyle w:val="Heading2"/>
      </w:pPr>
      <w:r>
        <w:t xml:space="preserve">§ 1.1 — Oggetto</w:t>
      </w:r>
    </w:p>
    <w:p>
      <w:pPr>
        <w:pStyle w:val="FirstParagraph"/>
      </w:pPr>
      <w:r>
        <w:t xml:space="preserve">La presente unità documentale costituisce il censimento analitico sistematico di tutti i nodi, gli archi, gli eventi, i luoghi e le assenze significative emersi entro il perimetro della sessione di lavoro del 4 agosto 2026. Il perimetro è dichiarato con precisione, perché da esso dipende lo statuto probatorio dell’intero registro: la sessione ha contenuto due sole unità testuali, e da queste sole — non da altro — il registro è estratto.</w:t>
      </w:r>
    </w:p>
    <w:p>
      <w:pPr>
        <w:pStyle w:val="BodyText"/>
      </w:pPr>
      <w:r>
        <w:t xml:space="preserve">La prima unità è la</w:t>
      </w:r>
      <w:r>
        <w:t xml:space="preserve"> </w:t>
      </w:r>
      <w:r>
        <w:rPr>
          <w:bCs/>
          <w:b/>
        </w:rPr>
        <w:t xml:space="preserve">Nota Metodologica ITALIA NERA</w:t>
      </w:r>
      <w:r>
        <w:t xml:space="preserve"> </w:t>
      </w:r>
      <w:r>
        <w:t xml:space="preserve">nella redazione conferita in apertura di sessione, che fissa il canone epistemico dell’opera: premessa popperiana e falsificazionista, paradigma indiziario ginzburghiano, teoria dei sistemi luhmanniana, Social Network Analysis multilivello, tassonomia dei dieci Domini di Potere, tipologia quinaria degli archi inter-dominio, undici Pattern analitici, standard probatorio Savona a tre livelli.</w:t>
      </w:r>
    </w:p>
    <w:p>
      <w:pPr>
        <w:pStyle w:val="BodyText"/>
      </w:pPr>
      <w:r>
        <w:t xml:space="preserve">La seconda unità è il</w:t>
      </w:r>
      <w:r>
        <w:t xml:space="preserve"> </w:t>
      </w:r>
      <w:r>
        <w:rPr>
          <w:bCs/>
          <w:b/>
        </w:rPr>
        <w:t xml:space="preserve">dossier di ricerca su Aginter Press e i Paesi Sunniti filo-sovietici</w:t>
      </w:r>
      <w:r>
        <w:t xml:space="preserve">, prodotto nella medesima sessione, articolato in sei linee d’indagine — storia e struttura dell’agenzia; attività africana e araba; propaganda anti-sovietica e rapporti con i servizi; contesto del mercenariato europeo nei conflitti arabi; reti nazi-arabe; valutazione critica delle fonti — e corredato di novantatré identificativi di risorsa consultati.</w:t>
      </w:r>
    </w:p>
    <w:bookmarkEnd w:id="23"/>
    <w:bookmarkStart w:id="24" w:name="statuto-epistemico-dellunità"/>
    <w:p>
      <w:pPr>
        <w:pStyle w:val="Heading2"/>
      </w:pPr>
      <w:r>
        <w:t xml:space="preserve">§ 1.2 — Statuto epistemico dell’unità</w:t>
      </w:r>
    </w:p>
    <w:p>
      <w:pPr>
        <w:pStyle w:val="FirstParagraph"/>
      </w:pPr>
      <w:r>
        <w:t xml:space="preserve">Questa unità è</w:t>
      </w:r>
      <w:r>
        <w:t xml:space="preserve"> </w:t>
      </w:r>
      <w:r>
        <w:rPr>
          <w:bCs/>
          <w:b/>
        </w:rPr>
        <w:t xml:space="preserve">un registro di sessione, non un registro di corpus</w:t>
      </w:r>
      <w:r>
        <w:t xml:space="preserve">. La distinzione è vincolante. Un registro di corpus estrae nodi da un insieme documentale archivistico e li classifica per triangolazione interna al corpus; un registro di sessione estrae nodi dal prodotto analitico di una singola sessione e ne eredita, senza poterlo migliorare, il grado probatorio di origine. Ne consegue che nessun nodo qui registrato acquista, per il solo fatto della registrazione, un grado superiore a quello che gli era attribuito nel dossier di provenienza. La registrazione non promuove. La registrazione conserva e ordina.</w:t>
      </w:r>
    </w:p>
    <w:p>
      <w:pPr>
        <w:pStyle w:val="BodyText"/>
      </w:pPr>
      <w:r>
        <w:t xml:space="preserve">Ne consegue altresì che l’unità è</w:t>
      </w:r>
      <w:r>
        <w:t xml:space="preserve"> </w:t>
      </w:r>
      <w:r>
        <w:rPr>
          <w:bCs/>
          <w:b/>
        </w:rPr>
        <w:t xml:space="preserve">innestabile ma non autosufficiente</w:t>
      </w:r>
      <w:r>
        <w:t xml:space="preserve">: essa è destinata a confluire nello Strato Secondo — dei nodi — del Registro Unico Federato, dove i suoi nodi andranno sottoposti a concordanza incrociata con le schede-nodo preesistenti relative al medesimo teatro (le monografie Aginter già in corpus, il Fascicolo VII, le sezioni su Egitto e Levante), e dove soltanto potrà maturare l’elevazione o la retrocessione di grado di singole asserzioni.</w:t>
      </w:r>
    </w:p>
    <w:bookmarkEnd w:id="24"/>
    <w:bookmarkStart w:id="25" w:name="il-risultato-negativo-come-risultato"/>
    <w:p>
      <w:pPr>
        <w:pStyle w:val="Heading2"/>
      </w:pPr>
      <w:r>
        <w:t xml:space="preserve">§ 1.3 — Il risultato negativo come risultato</w:t>
      </w:r>
    </w:p>
    <w:p>
      <w:pPr>
        <w:pStyle w:val="FirstParagraph"/>
      </w:pPr>
      <w:r>
        <w:t xml:space="preserve">L’esito centrale della sessione è un</w:t>
      </w:r>
      <w:r>
        <w:t xml:space="preserve"> </w:t>
      </w:r>
      <w:r>
        <w:rPr>
          <w:bCs/>
          <w:b/>
        </w:rPr>
        <w:t xml:space="preserve">esito negativo documentato</w:t>
      </w:r>
      <w:r>
        <w:t xml:space="preserve">: non risulta, allo stato delle fonti accessibili, alcuna operazione, sede, corrispondenza o agente di Aginter Press dentro gli Stati sunniti allineati con l’Unione Sovietica. Il registro assume questo esito non come mancanza da colmare con inferenze, ma come dato analitico di prima grandezza, iscritto nella Sezione F secondo il modello del Registro degli Esiti Negativi. È questa, nella logica popperiana assunta dalla Nota Metodologica, la forma più pregiata di conoscenza prodotta dalla sessione: un’ipotesi audace formulata e non sopravvissuta al tentativo di corroborazione.</w:t>
      </w:r>
    </w:p>
    <w:p>
      <w:r>
        <w:pict>
          <v:rect style="width:0;height:1.5pt" o:hralign="center" o:hrstd="t" o:hr="t"/>
        </w:pict>
      </w:r>
    </w:p>
    <w:bookmarkEnd w:id="25"/>
    <w:bookmarkEnd w:id="26"/>
    <w:bookmarkStart w:id="27" w:name="X191ba380401f5dba5414fc02dda812a8744bb71"/>
    <w:p>
      <w:pPr>
        <w:pStyle w:val="Heading1"/>
      </w:pPr>
      <w:r>
        <w:t xml:space="preserve">SEZIONE ZERO — CONVENZIONI DI REGISTRAZIONE</w:t>
      </w:r>
    </w:p>
    <w:p>
      <w:pPr>
        <w:pStyle w:val="FirstParagraph"/>
      </w:pPr>
      <w:r>
        <w:t xml:space="preserve">Ogni scheda-nodo è composta di quattro elementi: il</w:t>
      </w:r>
      <w:r>
        <w:t xml:space="preserve"> </w:t>
      </w:r>
      <w:r>
        <w:rPr>
          <w:bCs/>
          <w:b/>
        </w:rPr>
        <w:t xml:space="preserve">nome del nodo</w:t>
      </w:r>
      <w:r>
        <w:t xml:space="preserve">, preceduto dal simbolo tipologico; la</w:t>
      </w:r>
      <w:r>
        <w:t xml:space="preserve"> </w:t>
      </w:r>
      <w:r>
        <w:rPr>
          <w:bCs/>
          <w:b/>
        </w:rPr>
        <w:t xml:space="preserve">meta-classificazione</w:t>
      </w:r>
      <w:r>
        <w:t xml:space="preserve">, comprensiva dei Domini di appartenenza e del livello probatorio Savona; la</w:t>
      </w:r>
      <w:r>
        <w:t xml:space="preserve"> </w:t>
      </w:r>
      <w:r>
        <w:rPr>
          <w:bCs/>
          <w:b/>
        </w:rPr>
        <w:t xml:space="preserve">descrizione analitica</w:t>
      </w:r>
      <w:r>
        <w:t xml:space="preserve">, con i dati essenziali di identificazione e di contesto operativo; la voce</w:t>
      </w:r>
      <w:r>
        <w:t xml:space="preserve"> </w:t>
      </w:r>
      <w:r>
        <w:rPr>
          <w:bCs/>
          <w:b/>
        </w:rPr>
        <w:t xml:space="preserve">Connessioni</w:t>
      </w:r>
      <w:r>
        <w:t xml:space="preserve">, che elenca i nodi-relazione principali.</w:t>
      </w:r>
    </w:p>
    <w:p>
      <w:pPr>
        <w:pStyle w:val="BodyText"/>
      </w:pPr>
      <w:r>
        <w:t xml:space="preserve">I simboli tipologici sono i seguenti. Il simbolo ▶ designa i nodi-persona. Il simbolo ◆ designa i nodi-organizzazione. Il simbolo ■ designa i nodi-evento. Il simbolo ▲ designa i nodi-geografici. Il simbolo ✦ designa i nodi-fonte e i nodi-autore, ossia gli attori della produzione di conoscenza sul campo, che nella logica di ITALIA NERA sono essi stessi parte della rete in quanto determinano ciò che del campo è conoscibile.</w:t>
      </w:r>
    </w:p>
    <w:p>
      <w:pPr>
        <w:pStyle w:val="BodyText"/>
      </w:pPr>
      <w:r>
        <w:t xml:space="preserve">I livelli probatori sono quelli fissati dalla Nota Metodologica in conformità allo standard Savona. Il</w:t>
      </w:r>
      <w:r>
        <w:t xml:space="preserve"> </w:t>
      </w:r>
      <w:r>
        <w:rPr>
          <w:bCs/>
          <w:b/>
        </w:rPr>
        <w:t xml:space="preserve">Livello A</w:t>
      </w:r>
      <w:r>
        <w:t xml:space="preserve"> </w:t>
      </w:r>
      <w:r>
        <w:t xml:space="preserve">designa la connessione documentata da convergenza di almeno tre fonti indipendenti di natura diversa. Il</w:t>
      </w:r>
      <w:r>
        <w:t xml:space="preserve"> </w:t>
      </w:r>
      <w:r>
        <w:rPr>
          <w:bCs/>
          <w:b/>
        </w:rPr>
        <w:t xml:space="preserve">Livello B</w:t>
      </w:r>
      <w:r>
        <w:t xml:space="preserve"> </w:t>
      </w:r>
      <w:r>
        <w:t xml:space="preserve">designa la connessione indiziaria sostenuta da due fonti indipendenti oppure da una singola fonte di alta affidabilità. Il</w:t>
      </w:r>
      <w:r>
        <w:t xml:space="preserve"> </w:t>
      </w:r>
      <w:r>
        <w:rPr>
          <w:bCs/>
          <w:b/>
        </w:rPr>
        <w:t xml:space="preserve">Livello C</w:t>
      </w:r>
      <w:r>
        <w:t xml:space="preserve"> </w:t>
      </w:r>
      <w:r>
        <w:t xml:space="preserve">designa la connessione ipotetica, fondata su fonte unica o su convergenza di indizi circostanziali, marcata come tale e destinata a ulteriore verifica.</w:t>
      </w:r>
    </w:p>
    <w:p>
      <w:pPr>
        <w:pStyle w:val="BodyText"/>
      </w:pPr>
      <w:r>
        <w:t xml:space="preserve">I Domini sono designati con la sigla D seguita dal numero: D1 Criminalità Organizzata, D2 Potere Politico, D3 Intelligence e Servizi Segreti, D4 Massoneria e Società Segrete, D5 Istituzioni Religiose, D6 Economia Finanza e Impresa, D7 Terrorismo e Violenza Politica, D8 Media e Controllo dell’Informazione, D9 Forze Armate e Apparato Militare, D10 Magistratura e Sistema Giudiziario.</w:t>
      </w:r>
    </w:p>
    <w:p>
      <w:r>
        <w:pict>
          <v:rect style="width:0;height:1.5pt" o:hralign="center" o:hrstd="t" o:hr="t"/>
        </w:pict>
      </w:r>
    </w:p>
    <w:bookmarkEnd w:id="27"/>
    <w:bookmarkStart w:id="35" w:name="sezione-a-nodi-persona"/>
    <w:p>
      <w:pPr>
        <w:pStyle w:val="Heading1"/>
      </w:pPr>
      <w:r>
        <w:t xml:space="preserve">SEZIONE A — NODI-PERSONA</w:t>
      </w:r>
    </w:p>
    <w:bookmarkStart w:id="28" w:name="Xc699cbb3458776ff098268bf17a932a134f2b8e"/>
    <w:p>
      <w:pPr>
        <w:pStyle w:val="Heading2"/>
      </w:pPr>
      <w:r>
        <w:t xml:space="preserve">A.1 — Il nucleo direttivo e operativo di Aginter Press</w:t>
      </w:r>
    </w:p>
    <w:p>
      <w:pPr>
        <w:pStyle w:val="FirstParagraph"/>
      </w:pPr>
      <w:r>
        <w:rPr>
          <w:bCs/>
          <w:b/>
        </w:rPr>
        <w:t xml:space="preserve">▶ Yves Guérin-Sérac (Yves Guillou)</w:t>
      </w:r>
    </w:p>
    <w:p>
      <w:pPr>
        <w:pStyle w:val="BodyText"/>
      </w:pPr>
      <w:r>
        <w:rPr>
          <w:iCs/>
          <w:i/>
        </w:rPr>
        <w:t xml:space="preserve">Meta-classificazione: D3 × D7 × D8 × D9 — nodo apicale della rete di sessione — Livello A.</w:t>
      </w:r>
    </w:p>
    <w:p>
      <w:pPr>
        <w:pStyle w:val="BodyText"/>
      </w:pPr>
      <w:r>
        <w:t xml:space="preserve">Ufficiale francese, alias documentati Jean-Robert de Guernadec e</w:t>
      </w:r>
      <w:r>
        <w:t xml:space="preserve"> </w:t>
      </w:r>
      <w:r>
        <w:t xml:space="preserve">“</w:t>
      </w:r>
      <w:r>
        <w:t xml:space="preserve">Ralf</w:t>
      </w:r>
      <w:r>
        <w:t xml:space="preserve">”</w:t>
      </w:r>
      <w:r>
        <w:t xml:space="preserve">. Formazione nell’11e Choc, unità d’azione clandestina del SDECE. Veterano di Indocina, Corea e Algeria. Membro dell’OAS, condannato in contumacia in Francia. Riparato in Spagna franchista e quindi in Portogallo, che considera l’ultimo baluardo dell’Occidente cristiano contro il comunismo e l’ateismo. Prima della fondazione di Aginter Press addestra unità di controguerriglia dell’esercito portoghese e la Legião Portuguesa. Fonda l’agenzia nel settembre 1966 e la dirige fino al 25 aprile 1974. Dopo la Rivoluzione dei Garofani ripiega in Spagna. È il nodo di massima centralità di grado, di intermediazione e di autovettore dell’intera rete di sessione: ogni percorso che collega il Dominio 3 al Dominio 7 e al Dominio 8 in questa rete transita per lui.</w:t>
      </w:r>
    </w:p>
    <w:p>
      <w:pPr>
        <w:pStyle w:val="BodyText"/>
      </w:pPr>
      <w:r>
        <w:rPr>
          <w:iCs/>
          <w:i/>
        </w:rPr>
        <w:t xml:space="preserve">Connessioni: Robert Leroy; Stefano Delle Chiaie; Jean Brune; Jacques Depret; Jacques Ploncard d’Assac; PIDE/DGS; OAS; SDECE; Ordre et Tradition; OACI; Paladin Group; Ordine Nuovo.</w:t>
      </w:r>
    </w:p>
    <w:p>
      <w:pPr>
        <w:pStyle w:val="BodyText"/>
      </w:pPr>
      <w:r>
        <w:rPr>
          <w:bCs/>
          <w:b/>
        </w:rPr>
        <w:t xml:space="preserve">▶ Robert Leroy</w:t>
      </w:r>
    </w:p>
    <w:p>
      <w:pPr>
        <w:pStyle w:val="BodyText"/>
      </w:pPr>
      <w:r>
        <w:rPr>
          <w:iCs/>
          <w:i/>
        </w:rPr>
        <w:t xml:space="preserve">Meta-classificazione: D3 × D7 × D8 — nodo operativo ad alta betweenness verso il teatro africano orientale — Livello B.</w:t>
      </w:r>
    </w:p>
    <w:p>
      <w:pPr>
        <w:pStyle w:val="BodyText"/>
      </w:pPr>
      <w:r>
        <w:t xml:space="preserve">Indicato come braccio destro operativo di Guérin-Sérac e specialista di infiltrazione. Secondo un rapporto dei servizi italiani citato in letteratura accademica, fra il giugno 1968 e l’ottobre 1969 conduce una serie di colloqui in Africa orientale, fra cui con Eduardo Mondlane, Marcelino dos Santos e Mateus Gwenjere, spacciandosi per giornalista marxista-leninista di orientamento filo-cinese. La sua attività in Tanzania è inquadrata come parte di Operação Zona Leste. Il collegamento fra la sua presenza a Dar es Salaam e l’attentato del 3 febbraio 1969 resta indiziario e non provato.</w:t>
      </w:r>
    </w:p>
    <w:p>
      <w:pPr>
        <w:pStyle w:val="BodyText"/>
      </w:pPr>
      <w:r>
        <w:rPr>
          <w:iCs/>
          <w:i/>
        </w:rPr>
        <w:t xml:space="preserve">Connessioni: Yves Guérin-Sérac; Eduardo Mondlane; Operação Zona Leste; FRELIMO; PIDE/DGS; Sékou Touré.</w:t>
      </w:r>
    </w:p>
    <w:p>
      <w:pPr>
        <w:pStyle w:val="BodyText"/>
      </w:pPr>
      <w:r>
        <w:rPr>
          <w:bCs/>
          <w:b/>
        </w:rPr>
        <w:t xml:space="preserve">▶ Stefano Delle Chiaie</w:t>
      </w:r>
    </w:p>
    <w:p>
      <w:pPr>
        <w:pStyle w:val="BodyText"/>
      </w:pPr>
      <w:r>
        <w:rPr>
          <w:iCs/>
          <w:i/>
        </w:rPr>
        <w:t xml:space="preserve">Meta-classificazione: D7 × D3 × D1 × D2 — nodo-cerniera fra Aginter e l’eversione italiana — Livello B.</w:t>
      </w:r>
    </w:p>
    <w:p>
      <w:pPr>
        <w:pStyle w:val="BodyText"/>
      </w:pPr>
      <w:r>
        <w:t xml:space="preserve">Fondatore di Avanguardia Nazionale, figura centrale del neofascismo italiano transnazionale. Indicato in letteratura fra i membri fondatori o comunque fra i partecipanti al nucleo iniziale di Aginter Press. La sua presenza costituisce l’arco più diretto fra la centrale lisboeta e il teatro italiano dello stragismo, e ne fa il candidato principale come nodo-ponte D7 Portogallo–Italia. Il grado di formalizzazione del suo ruolo interno all’agenzia varia significativamente fra le fonti e non è stabilizzato.</w:t>
      </w:r>
    </w:p>
    <w:p>
      <w:pPr>
        <w:pStyle w:val="BodyText"/>
      </w:pPr>
      <w:r>
        <w:rPr>
          <w:iCs/>
          <w:i/>
        </w:rPr>
        <w:t xml:space="preserve">Connessioni: Yves Guérin-Sérac; Aginter Press; Avanguardia Nazionale; Ordine Nuovo; PIDE/DGS.</w:t>
      </w:r>
    </w:p>
    <w:p>
      <w:pPr>
        <w:pStyle w:val="BodyText"/>
      </w:pPr>
      <w:r>
        <w:rPr>
          <w:bCs/>
          <w:b/>
        </w:rPr>
        <w:t xml:space="preserve">▶ Jean Brune</w:t>
      </w:r>
    </w:p>
    <w:p>
      <w:pPr>
        <w:pStyle w:val="BodyText"/>
      </w:pPr>
      <w:r>
        <w:rPr>
          <w:iCs/>
          <w:i/>
        </w:rPr>
        <w:t xml:space="preserve">Meta-classificazione: D8 × D7 — nodo di produzione ideologica — Livello B.</w:t>
      </w:r>
    </w:p>
    <w:p>
      <w:pPr>
        <w:pStyle w:val="BodyText"/>
      </w:pPr>
      <w:r>
        <w:t xml:space="preserve">Scrittore di area OAS, per tre anni caporedattore della struttura editoriale di Aginter a Lisbona. Rappresenta la funzione di copertura pubblica dell’agenzia — la produzione di lettere confidenziali in abbonamento e di materiale di propaganda — che nella tripartizione operativa costituisce il primo dei tre livelli, quello visibile.</w:t>
      </w:r>
    </w:p>
    <w:p>
      <w:pPr>
        <w:pStyle w:val="BodyText"/>
      </w:pPr>
      <w:r>
        <w:rPr>
          <w:iCs/>
          <w:i/>
        </w:rPr>
        <w:t xml:space="preserve">Connessioni: Yves Guérin-Sérac; Aginter Press; OAS; Jacques Ploncard d’Assac.</w:t>
      </w:r>
    </w:p>
    <w:p>
      <w:pPr>
        <w:pStyle w:val="BodyText"/>
      </w:pPr>
      <w:r>
        <w:rPr>
          <w:bCs/>
          <w:b/>
        </w:rPr>
        <w:t xml:space="preserve">▶ Jacques Depret</w:t>
      </w:r>
    </w:p>
    <w:p>
      <w:pPr>
        <w:pStyle w:val="BodyText"/>
      </w:pPr>
      <w:r>
        <w:rPr>
          <w:iCs/>
          <w:i/>
        </w:rPr>
        <w:t xml:space="preserve">Meta-classificazione: D3 × D7 × D9 — nodo di raccordo con il mercenariato françafricain — Livello B.</w:t>
      </w:r>
    </w:p>
    <w:p>
      <w:pPr>
        <w:pStyle w:val="BodyText"/>
      </w:pPr>
      <w:r>
        <w:t xml:space="preserve">Ex-OAS indicato come vicino al SDECE. Avrebbe sottoscritto con Guérin-Sérac un accordo per l’intervento in Biafra e a sostegno di Moïse Tschombé in Congo. È il solo arco documentato, per quanto indiziario, che collega l’ambiente Aginter a un conflitto in cui uno Stato a rilevante componente musulmana — la Nigeria — sia parte belligerante. Il carattere della partita resta tuttavia françafricain e non anti-arabo.</w:t>
      </w:r>
    </w:p>
    <w:p>
      <w:pPr>
        <w:pStyle w:val="BodyText"/>
      </w:pPr>
      <w:r>
        <w:rPr>
          <w:iCs/>
          <w:i/>
        </w:rPr>
        <w:t xml:space="preserve">Connessioni: Yves Guérin-Sérac; SDECE; Biafra; Moïse Tschombé; Jacques Foccart.</w:t>
      </w:r>
    </w:p>
    <w:p>
      <w:pPr>
        <w:pStyle w:val="BodyText"/>
      </w:pPr>
      <w:r>
        <w:rPr>
          <w:bCs/>
          <w:b/>
        </w:rPr>
        <w:t xml:space="preserve">▶ Jacques Ploncard d’Assac</w:t>
      </w:r>
    </w:p>
    <w:p>
      <w:pPr>
        <w:pStyle w:val="BodyText"/>
      </w:pPr>
      <w:r>
        <w:rPr>
          <w:iCs/>
          <w:i/>
        </w:rPr>
        <w:t xml:space="preserve">Meta-classificazione: D8 × D2 — nodo introduttore e legittimatore — Livello A.</w:t>
      </w:r>
    </w:p>
    <w:p>
      <w:pPr>
        <w:pStyle w:val="BodyText"/>
      </w:pPr>
      <w:r>
        <w:t xml:space="preserve">Ex pétainista, animatore delle trasmissioni francofone di</w:t>
      </w:r>
      <w:r>
        <w:t xml:space="preserve"> </w:t>
      </w:r>
      <w:r>
        <w:t xml:space="preserve">“</w:t>
      </w:r>
      <w:r>
        <w:t xml:space="preserve">Voz do Ocidente</w:t>
      </w:r>
      <w:r>
        <w:t xml:space="preserve">”</w:t>
      </w:r>
      <w:r>
        <w:t xml:space="preserve">. Introduce Guérin-Sérac negli ambienti della PIDE e nei circoli fascisti portoghesi. Esemplifica la funzione, tipica del Pattern 7, del broker che apre a un migrante inter-dominio l’accesso a un campo nazionale altrimenti chiuso.</w:t>
      </w:r>
    </w:p>
    <w:p>
      <w:pPr>
        <w:pStyle w:val="BodyText"/>
      </w:pPr>
      <w:r>
        <w:rPr>
          <w:iCs/>
          <w:i/>
        </w:rPr>
        <w:t xml:space="preserve">Connessioni: Yves Guérin-Sérac; PIDE/DGS; Estado Novo; Voz do Ocidente.</w:t>
      </w:r>
    </w:p>
    <w:p>
      <w:pPr>
        <w:pStyle w:val="BodyText"/>
      </w:pPr>
      <w:r>
        <w:rPr>
          <w:bCs/>
          <w:b/>
        </w:rPr>
        <w:t xml:space="preserve">▶ Jay Sablonsky, alias</w:t>
      </w:r>
      <w:r>
        <w:rPr>
          <w:bCs/>
          <w:b/>
        </w:rPr>
        <w:t xml:space="preserve"> </w:t>
      </w:r>
      <w:r>
        <w:rPr>
          <w:bCs/>
          <w:b/>
        </w:rPr>
        <w:t xml:space="preserve">“</w:t>
      </w:r>
      <w:r>
        <w:rPr>
          <w:bCs/>
          <w:b/>
        </w:rPr>
        <w:t xml:space="preserve">Salby</w:t>
      </w:r>
      <w:r>
        <w:rPr>
          <w:bCs/>
          <w:b/>
        </w:rPr>
        <w:t xml:space="preserve">”</w:t>
      </w:r>
    </w:p>
    <w:p>
      <w:pPr>
        <w:pStyle w:val="BodyText"/>
      </w:pPr>
      <w:r>
        <w:rPr>
          <w:iCs/>
          <w:i/>
        </w:rPr>
        <w:t xml:space="preserve">Meta-classificazione: D3 × D7 — agente di proiezione latinoamericana — Livello C.</w:t>
      </w:r>
    </w:p>
    <w:p>
      <w:pPr>
        <w:pStyle w:val="BodyText"/>
      </w:pPr>
      <w:r>
        <w:t xml:space="preserve">Agente di Aginter Press la cui attività in Guatemala è documentata da materiale trasmesso alla magistratura italiana dall’Algeria indipendente. Il nodo è di rilievo strutturale non per il Guatemala, ma per il canale: è l’unico arco accertato fra Aginter e uno Stato arabo, e ha direzione invertita rispetto all’ipotesi di lavoro della sessione — l’Algeria non è bersaglio dell’agenzia, ma fonte di prove contro di essa.</w:t>
      </w:r>
    </w:p>
    <w:p>
      <w:pPr>
        <w:pStyle w:val="BodyText"/>
      </w:pPr>
      <w:r>
        <w:rPr>
          <w:iCs/>
          <w:i/>
        </w:rPr>
        <w:t xml:space="preserve">Connessioni: Aginter Press; Algeria indipendente; magistratura italiana; Guatemala.</w:t>
      </w:r>
    </w:p>
    <w:p>
      <w:pPr>
        <w:pStyle w:val="BodyText"/>
      </w:pPr>
      <w:r>
        <w:rPr>
          <w:bCs/>
          <w:b/>
        </w:rPr>
        <w:t xml:space="preserve">▶</w:t>
      </w:r>
      <w:r>
        <w:rPr>
          <w:bCs/>
          <w:b/>
        </w:rPr>
        <w:t xml:space="preserve"> </w:t>
      </w:r>
      <w:r>
        <w:rPr>
          <w:bCs/>
          <w:b/>
        </w:rPr>
        <w:t xml:space="preserve">“</w:t>
      </w:r>
      <w:r>
        <w:rPr>
          <w:bCs/>
          <w:b/>
        </w:rPr>
        <w:t xml:space="preserve">Lester</w:t>
      </w:r>
      <w:r>
        <w:rPr>
          <w:bCs/>
          <w:b/>
        </w:rPr>
        <w:t xml:space="preserve">”</w:t>
      </w:r>
      <w:r>
        <w:rPr>
          <w:bCs/>
          <w:b/>
        </w:rPr>
        <w:t xml:space="preserve"> </w:t>
      </w:r>
      <w:r>
        <w:rPr>
          <w:bCs/>
          <w:b/>
        </w:rPr>
        <w:t xml:space="preserve">(identità non accertata)</w:t>
      </w:r>
    </w:p>
    <w:p>
      <w:pPr>
        <w:pStyle w:val="BodyText"/>
      </w:pPr>
      <w:r>
        <w:rPr>
          <w:iCs/>
          <w:i/>
        </w:rPr>
        <w:t xml:space="preserve">Meta-classificazione: D3 — nodo opaco ad alta priorità di risoluzione — Livello C.</w:t>
      </w:r>
    </w:p>
    <w:p>
      <w:pPr>
        <w:pStyle w:val="BodyText"/>
      </w:pPr>
      <w:r>
        <w:t xml:space="preserve">Agente non identificato, autore delle lettere a Salazar conservate nell’Arquivo Salazar presso la Torre do Tombo, relative alle missioni africane di Aginter in Biafra e Angola. La sua identificazione è indicata fra le priorità della ricerca archivistica: si tratta di un nodo che, se risolto, ridefinirebbe la catena di comando fra l’agenzia e il vertice dell’Estado Novo.</w:t>
      </w:r>
    </w:p>
    <w:p>
      <w:pPr>
        <w:pStyle w:val="BodyText"/>
      </w:pPr>
      <w:r>
        <w:rPr>
          <w:iCs/>
          <w:i/>
        </w:rPr>
        <w:t xml:space="preserve">Connessioni: António de Oliveira Salazar; Aginter Press; Arquivo Salazar; Biafra; Angola.</w:t>
      </w:r>
    </w:p>
    <w:bookmarkEnd w:id="28"/>
    <w:bookmarkStart w:id="29" w:name="X2649b7ae1e6c6bc7c08a242efa7d007b9b2a148"/>
    <w:p>
      <w:pPr>
        <w:pStyle w:val="Heading2"/>
      </w:pPr>
      <w:r>
        <w:t xml:space="preserve">A.2 — La committenza portoghese e la filiera dei servizi</w:t>
      </w:r>
    </w:p>
    <w:p>
      <w:pPr>
        <w:pStyle w:val="FirstParagraph"/>
      </w:pPr>
      <w:r>
        <w:rPr>
          <w:bCs/>
          <w:b/>
        </w:rPr>
        <w:t xml:space="preserve">▶ António de Oliveira Salazar</w:t>
      </w:r>
    </w:p>
    <w:p>
      <w:pPr>
        <w:pStyle w:val="BodyText"/>
      </w:pPr>
      <w:r>
        <w:rPr>
          <w:iCs/>
          <w:i/>
        </w:rPr>
        <w:t xml:space="preserve">Meta-classificazione: D2 × D3 — committente apicale — Livello A.</w:t>
      </w:r>
    </w:p>
    <w:p>
      <w:pPr>
        <w:pStyle w:val="BodyText"/>
      </w:pPr>
      <w:r>
        <w:t xml:space="preserve">Capo dell’Estado Novo sotto il cui regime Aginter Press è fondata e opera. Destinatario diretto della corrispondenza dell’agente</w:t>
      </w:r>
      <w:r>
        <w:t xml:space="preserve"> </w:t>
      </w:r>
      <w:r>
        <w:t xml:space="preserve">“</w:t>
      </w:r>
      <w:r>
        <w:t xml:space="preserve">Lester</w:t>
      </w:r>
      <w:r>
        <w:t xml:space="preserve">”</w:t>
      </w:r>
      <w:r>
        <w:t xml:space="preserve"> </w:t>
      </w:r>
      <w:r>
        <w:t xml:space="preserve">sulle missioni africane dell’agenzia. Costituisce il vertice formale della catena di committenza che, attraverso la PIDE, governa l’attività di Aginter.</w:t>
      </w:r>
    </w:p>
    <w:p>
      <w:pPr>
        <w:pStyle w:val="BodyText"/>
      </w:pPr>
      <w:r>
        <w:rPr>
          <w:iCs/>
          <w:i/>
        </w:rPr>
        <w:t xml:space="preserve">Connessioni: PIDE/DGS;</w:t>
      </w:r>
      <w:r>
        <w:rPr>
          <w:iCs/>
          <w:i/>
        </w:rPr>
        <w:t xml:space="preserve"> </w:t>
      </w:r>
      <w:r>
        <w:rPr>
          <w:iCs/>
          <w:i/>
        </w:rPr>
        <w:t xml:space="preserve">“</w:t>
      </w:r>
      <w:r>
        <w:rPr>
          <w:iCs/>
          <w:i/>
        </w:rPr>
        <w:t xml:space="preserve">Lester</w:t>
      </w:r>
      <w:r>
        <w:rPr>
          <w:iCs/>
          <w:i/>
        </w:rPr>
        <w:t xml:space="preserve">”</w:t>
      </w:r>
      <w:r>
        <w:rPr>
          <w:iCs/>
          <w:i/>
        </w:rPr>
        <w:t xml:space="preserve">; Aginter Press; Legião Portuguesa; Guerra Coloniale.</w:t>
      </w:r>
    </w:p>
    <w:p>
      <w:pPr>
        <w:pStyle w:val="BodyText"/>
      </w:pPr>
      <w:r>
        <w:rPr>
          <w:bCs/>
          <w:b/>
        </w:rPr>
        <w:t xml:space="preserve">▶ Casimiro Monteiro</w:t>
      </w:r>
    </w:p>
    <w:p>
      <w:pPr>
        <w:pStyle w:val="BodyText"/>
      </w:pPr>
      <w:r>
        <w:rPr>
          <w:iCs/>
          <w:i/>
        </w:rPr>
        <w:t xml:space="preserve">Meta-classificazione: D3 — esecutore diretto — Livello B.</w:t>
      </w:r>
    </w:p>
    <w:p>
      <w:pPr>
        <w:pStyle w:val="BodyText"/>
      </w:pPr>
      <w:r>
        <w:t xml:space="preserve">Agente della PIDE indicato in una delle ipotesi concorrenti sull’assassinio di Eduardo Mondlane come esecutore per conto diretto del servizio portoghese, in alternativa all’attribuzione ad Aginter e all’ipotesi della faida interna al FRELIMO. La sua presenza nella matrice ACH è la ragione principale per cui l’attribuzione ad Aginter non può essere considerata diagnostica.</w:t>
      </w:r>
    </w:p>
    <w:p>
      <w:pPr>
        <w:pStyle w:val="BodyText"/>
      </w:pPr>
      <w:r>
        <w:rPr>
          <w:iCs/>
          <w:i/>
        </w:rPr>
        <w:t xml:space="preserve">Connessioni: PIDE/DGS; Eduardo Mondlane; FRELIMO.</w:t>
      </w:r>
    </w:p>
    <w:p>
      <w:pPr>
        <w:pStyle w:val="BodyText"/>
      </w:pPr>
      <w:r>
        <w:rPr>
          <w:bCs/>
          <w:b/>
        </w:rPr>
        <w:t xml:space="preserve">▶ António de Spínola</w:t>
      </w:r>
    </w:p>
    <w:p>
      <w:pPr>
        <w:pStyle w:val="BodyText"/>
      </w:pPr>
      <w:r>
        <w:rPr>
          <w:iCs/>
          <w:i/>
        </w:rPr>
        <w:t xml:space="preserve">Meta-classificazione: D9 × D2 — pianificatore militare — Livello A.</w:t>
      </w:r>
    </w:p>
    <w:p>
      <w:pPr>
        <w:pStyle w:val="BodyText"/>
      </w:pPr>
      <w:r>
        <w:t xml:space="preserve">Generale, pianificatore dell’Operação Mar Verde del 22 novembre 1970 contro Conakry. La sua figura è dirimente sul piano analitico: l’operazione anti-Sékou Touré, spesso attribuita nella pubblicistica ad Aginter, è documentata come operazione regolare delle Forze Armate portoghesi, e la sua paternità militare è accertata.</w:t>
      </w:r>
    </w:p>
    <w:p>
      <w:pPr>
        <w:pStyle w:val="BodyText"/>
      </w:pPr>
      <w:r>
        <w:rPr>
          <w:iCs/>
          <w:i/>
        </w:rPr>
        <w:t xml:space="preserve">Connessioni: Operação Mar Verde; Alpoim Calvão; Sékou Touré; FLNG; PAIGC.</w:t>
      </w:r>
    </w:p>
    <w:p>
      <w:pPr>
        <w:pStyle w:val="BodyText"/>
      </w:pPr>
      <w:r>
        <w:rPr>
          <w:bCs/>
          <w:b/>
        </w:rPr>
        <w:t xml:space="preserve">▶ Alpoim Calvão</w:t>
      </w:r>
    </w:p>
    <w:p>
      <w:pPr>
        <w:pStyle w:val="BodyText"/>
      </w:pPr>
      <w:r>
        <w:rPr>
          <w:iCs/>
          <w:i/>
        </w:rPr>
        <w:t xml:space="preserve">Meta-classificazione: D9 — comandante operativo — Livello A.</w:t>
      </w:r>
    </w:p>
    <w:p>
      <w:pPr>
        <w:pStyle w:val="BodyText"/>
      </w:pPr>
      <w:r>
        <w:t xml:space="preserve">Capitano di fregata, comandante sul campo dell’Operação Mar Verde, alla testa di una forza anfibia stimata fra i trecentocinquanta e i quattrocentoventi effettivi fra militari portoghesi e combattenti guineani inquadrati, con tre pattugliatori e due mezzi da sbarco.</w:t>
      </w:r>
    </w:p>
    <w:p>
      <w:pPr>
        <w:pStyle w:val="BodyText"/>
      </w:pPr>
      <w:r>
        <w:rPr>
          <w:iCs/>
          <w:i/>
        </w:rPr>
        <w:t xml:space="preserve">Connessioni: António de Spínola; Operação Mar Verde; FLNG; Conakry.</w:t>
      </w:r>
    </w:p>
    <w:bookmarkEnd w:id="29"/>
    <w:bookmarkStart w:id="30" w:name="X5bbc817024ad4037da958c68c718dc6ae474245"/>
    <w:p>
      <w:pPr>
        <w:pStyle w:val="Heading2"/>
      </w:pPr>
      <w:r>
        <w:t xml:space="preserve">A.3 — I bersagli africani e i movimenti di liberazione</w:t>
      </w:r>
    </w:p>
    <w:p>
      <w:pPr>
        <w:pStyle w:val="FirstParagraph"/>
      </w:pPr>
      <w:r>
        <w:rPr>
          <w:bCs/>
          <w:b/>
        </w:rPr>
        <w:t xml:space="preserve">▶ Eduardo Mondlane</w:t>
      </w:r>
    </w:p>
    <w:p>
      <w:pPr>
        <w:pStyle w:val="BodyText"/>
      </w:pPr>
      <w:r>
        <w:rPr>
          <w:iCs/>
          <w:i/>
        </w:rPr>
        <w:t xml:space="preserve">Meta-classificazione: D2 × D7 — nodo-bersaglio — Livello A per l’omicidio, Livello C per l’attribuzione ad Aginter.</w:t>
      </w:r>
    </w:p>
    <w:p>
      <w:pPr>
        <w:pStyle w:val="BodyText"/>
      </w:pPr>
      <w:r>
        <w:t xml:space="preserve">Presidente del FRELIMO, ucciso a Dar es Salaam il 3 febbraio 1969 da un ordigno occultato in un pacco. L’indagine del CID tanzaniano accerta che il francobollo sovietico apposto al pacco era falso, che l’ordigno fu costruito in Mozambico o a Dar es Salaam, e che fu introdotto nella corrispondenza della vittima da un membro dello stesso FRELIMO. Il nodo è il fulcro della matrice ACH della Sezione H.</w:t>
      </w:r>
    </w:p>
    <w:p>
      <w:pPr>
        <w:pStyle w:val="BodyText"/>
      </w:pPr>
      <w:r>
        <w:rPr>
          <w:iCs/>
          <w:i/>
        </w:rPr>
        <w:t xml:space="preserve">Connessioni: FRELIMO; Robert Leroy; Casimiro Monteiro; PIDE/DGS; Marcelino dos Santos; Mateus Gwenjere; Dar es Salaam.</w:t>
      </w:r>
    </w:p>
    <w:p>
      <w:pPr>
        <w:pStyle w:val="BodyText"/>
      </w:pPr>
      <w:r>
        <w:rPr>
          <w:bCs/>
          <w:b/>
        </w:rPr>
        <w:t xml:space="preserve">▶ Amílcar Cabral</w:t>
      </w:r>
    </w:p>
    <w:p>
      <w:pPr>
        <w:pStyle w:val="BodyText"/>
      </w:pPr>
      <w:r>
        <w:rPr>
          <w:iCs/>
          <w:i/>
        </w:rPr>
        <w:t xml:space="preserve">Meta-classificazione: D2 × D7 — nodo-bersaglio — Livello A per l’omicidio, Livello C per l’attribuzione ad Aginter.</w:t>
      </w:r>
    </w:p>
    <w:p>
      <w:pPr>
        <w:pStyle w:val="BodyText"/>
      </w:pPr>
      <w:r>
        <w:t xml:space="preserve">Leader del PAIGC, ucciso a Conakry il 20 gennaio 1973. L’attribuzione ad Aginter Press ricorre con frequenza nella pubblicistica ma non è sostenuta da documentazione archivistica o giudiziaria. Il nodo entra nel registro con esplicita marcatura ipotetica.</w:t>
      </w:r>
    </w:p>
    <w:p>
      <w:pPr>
        <w:pStyle w:val="BodyText"/>
      </w:pPr>
      <w:r>
        <w:rPr>
          <w:iCs/>
          <w:i/>
        </w:rPr>
        <w:t xml:space="preserve">Connessioni: PAIGC; Conakry; Sékou Touré; PIDE/DGS; Aginter Press (Livello C).</w:t>
      </w:r>
    </w:p>
    <w:p>
      <w:pPr>
        <w:pStyle w:val="BodyText"/>
      </w:pPr>
      <w:r>
        <w:rPr>
          <w:bCs/>
          <w:b/>
        </w:rPr>
        <w:t xml:space="preserve">▶ Sékou Touré</w:t>
      </w:r>
    </w:p>
    <w:p>
      <w:pPr>
        <w:pStyle w:val="BodyText"/>
      </w:pPr>
      <w:r>
        <w:rPr>
          <w:iCs/>
          <w:i/>
        </w:rPr>
        <w:t xml:space="preserve">Meta-classificazione: D2 — capo di Stato bersaglio — Livello A.</w:t>
      </w:r>
    </w:p>
    <w:p>
      <w:pPr>
        <w:pStyle w:val="BodyText"/>
      </w:pPr>
      <w:r>
        <w:t xml:space="preserve">Presidente della Guinea-Conakry, regime allineato con Mosca, bersaglio di operazioni di sovversione e dell’Operação Mar Verde. Nodo cruciale sul piano della demarcazione concettuale: la Guinea-Conakry è a maggioranza musulmana e filo-sovietica, ma è Africa occidentale subsahariana e non mondo arabo. La sua confusione con il perimetro arabo è la principale fonte di errore nella letteratura divulgativa sul tema.</w:t>
      </w:r>
    </w:p>
    <w:p>
      <w:pPr>
        <w:pStyle w:val="BodyText"/>
      </w:pPr>
      <w:r>
        <w:rPr>
          <w:iCs/>
          <w:i/>
        </w:rPr>
        <w:t xml:space="preserve">Connessioni: Operação Mar Verde; PAIGC; Amílcar Cabral; Robert Leroy; Egitto; Nigeria.</w:t>
      </w:r>
    </w:p>
    <w:p>
      <w:pPr>
        <w:pStyle w:val="BodyText"/>
      </w:pPr>
      <w:r>
        <w:rPr>
          <w:bCs/>
          <w:b/>
        </w:rPr>
        <w:t xml:space="preserve">▶ Alexandre Taty</w:t>
      </w:r>
    </w:p>
    <w:p>
      <w:pPr>
        <w:pStyle w:val="BodyText"/>
      </w:pPr>
      <w:r>
        <w:rPr>
          <w:iCs/>
          <w:i/>
        </w:rPr>
        <w:t xml:space="preserve">Meta-classificazione: D2 × D7 — strumento di destabilizzazione interna — Livello A.</w:t>
      </w:r>
    </w:p>
    <w:p>
      <w:pPr>
        <w:pStyle w:val="BodyText"/>
      </w:pPr>
      <w:r>
        <w:t xml:space="preserve">Ministro della Difesa del GRAE guidato da Holden Roberto. Attorno alla sua figura è concepito, pochi mesi prima dell’aprile 1965, l’unico intervento di Aginter documentato in una colonia portoghese: la costituzione di un gruppo di trecento mercenari che, ai suoi ordini, avrebbe operato un colpo di mano interno al GRAE per farne implodere la direzione. Il piano fallisce; Taty abbandona l’FNLA nel 1965.</w:t>
      </w:r>
    </w:p>
    <w:p>
      <w:pPr>
        <w:pStyle w:val="BodyText"/>
      </w:pPr>
      <w:r>
        <w:rPr>
          <w:iCs/>
          <w:i/>
        </w:rPr>
        <w:t xml:space="preserve">Connessioni: Holden Roberto; GRAE; FNLA; Aginter Press; Angola.</w:t>
      </w:r>
    </w:p>
    <w:p>
      <w:pPr>
        <w:pStyle w:val="BodyText"/>
      </w:pPr>
      <w:r>
        <w:rPr>
          <w:bCs/>
          <w:b/>
        </w:rPr>
        <w:t xml:space="preserve">▶ Holden Roberto</w:t>
      </w:r>
    </w:p>
    <w:p>
      <w:pPr>
        <w:pStyle w:val="BodyText"/>
      </w:pPr>
      <w:r>
        <w:rPr>
          <w:iCs/>
          <w:i/>
        </w:rPr>
        <w:t xml:space="preserve">Meta-classificazione: D2 × D7 — Livello A.</w:t>
      </w:r>
    </w:p>
    <w:p>
      <w:pPr>
        <w:pStyle w:val="BodyText"/>
      </w:pPr>
      <w:r>
        <w:t xml:space="preserve">Leader dell’FNLA e del GRAE, obiettivo indiretto del piano Taty. Nodo che illustra il modulo operativo prediletto dall’agenzia: non l’attacco frontale al movimento di liberazione, ma la sua implosione per innesco interno.</w:t>
      </w:r>
    </w:p>
    <w:p>
      <w:pPr>
        <w:pStyle w:val="BodyText"/>
      </w:pPr>
      <w:r>
        <w:rPr>
          <w:iCs/>
          <w:i/>
        </w:rPr>
        <w:t xml:space="preserve">Connessioni: Alexandre Taty; GRAE; FNLA; Angola.</w:t>
      </w:r>
    </w:p>
    <w:bookmarkEnd w:id="30"/>
    <w:bookmarkStart w:id="31" w:name="X1cc2f3ac521f594687dcb236bfac22528e8f723"/>
    <w:p>
      <w:pPr>
        <w:pStyle w:val="Heading2"/>
      </w:pPr>
      <w:r>
        <w:t xml:space="preserve">A.4 — La filiera nazi-araba: un sistema distinto</w:t>
      </w:r>
    </w:p>
    <w:p>
      <w:pPr>
        <w:pStyle w:val="FirstParagraph"/>
      </w:pPr>
      <w:r>
        <w:rPr>
          <w:bCs/>
          <w:b/>
        </w:rPr>
        <w:t xml:space="preserve">▶ Otto Skorzeny</w:t>
      </w:r>
    </w:p>
    <w:p>
      <w:pPr>
        <w:pStyle w:val="BodyText"/>
      </w:pPr>
      <w:r>
        <w:rPr>
          <w:iCs/>
          <w:i/>
        </w:rPr>
        <w:t xml:space="preserve">Meta-classificazione: D3 × D6 × D9 — nodo di sistema contiguo — Livello A.</w:t>
      </w:r>
    </w:p>
    <w:p>
      <w:pPr>
        <w:pStyle w:val="BodyText"/>
      </w:pPr>
      <w:r>
        <w:t xml:space="preserve">Ufficiale delle SS, consigliere militare in Egitto nasseriano, addestratore di commandos e di formazioni fedayn, operatore di traffico d’armi attraverso la propria società di import-export in Spagna. Talvolta citato in relazione al Paladin Group, ambiente in cui Guérin-Sérac ripiega dopo il 1974. Tale contiguità è di ambiente e non di catena operativa: non costituisce arco fra Aginter e i regimi arabi.</w:t>
      </w:r>
    </w:p>
    <w:p>
      <w:pPr>
        <w:pStyle w:val="BodyText"/>
      </w:pPr>
      <w:r>
        <w:rPr>
          <w:iCs/>
          <w:i/>
        </w:rPr>
        <w:t xml:space="preserve">Connessioni: Gamal Abdel Nasser; Johann von Leers; Paladin Group; Wilhelm Voss; Artur Schmitt; Yves Guérin-Sérac (contiguità d’ambiente, Livello C).</w:t>
      </w:r>
    </w:p>
    <w:p>
      <w:pPr>
        <w:pStyle w:val="BodyText"/>
      </w:pPr>
      <w:r>
        <w:rPr>
          <w:bCs/>
          <w:b/>
        </w:rPr>
        <w:t xml:space="preserve">▶ Johann von Leers (Omar Amin)</w:t>
      </w:r>
    </w:p>
    <w:p>
      <w:pPr>
        <w:pStyle w:val="BodyText"/>
      </w:pPr>
      <w:r>
        <w:rPr>
          <w:iCs/>
          <w:i/>
        </w:rPr>
        <w:t xml:space="preserve">Meta-classificazione: D8 × D2 — nodo di propaganda al servizio di un regime filo-sovietico — Livello A.</w:t>
      </w:r>
    </w:p>
    <w:p>
      <w:pPr>
        <w:pStyle w:val="BodyText"/>
      </w:pPr>
      <w:r>
        <w:t xml:space="preserve">Ideologo nazionalsocialista. Nel febbraio 1956 il governo egiziano lo nomina consigliere politico e per la propaganda presso il Dipartimento Informazione del Ministero dell’Orientamento Nazionale. Dirige l’Institute for the Study of Zionism, è rappresentante tedesco della Lega Araba, si converte all’Islam assumendo il nome di Omar Amin. È il nodo che rende visibile l’inversione strutturale: mentre Aginter combatte i clienti africani di Mosca, la filiera nazi-araba serve i clienti arabi di Mosca.</w:t>
      </w:r>
    </w:p>
    <w:p>
      <w:pPr>
        <w:pStyle w:val="BodyText"/>
      </w:pPr>
      <w:r>
        <w:rPr>
          <w:iCs/>
          <w:i/>
        </w:rPr>
        <w:t xml:space="preserve">Connessioni: Gamal Abdel Nasser; Otto Skorzeny; Lega Araba; Institute for the Study of Zionism; Il Cairo.</w:t>
      </w:r>
    </w:p>
    <w:p>
      <w:pPr>
        <w:pStyle w:val="BodyText"/>
      </w:pPr>
      <w:r>
        <w:rPr>
          <w:bCs/>
          <w:b/>
        </w:rPr>
        <w:t xml:space="preserve">▶ Alois Brunner (alias Georg Fischer)</w:t>
      </w:r>
    </w:p>
    <w:p>
      <w:pPr>
        <w:pStyle w:val="BodyText"/>
      </w:pPr>
      <w:r>
        <w:rPr>
          <w:iCs/>
          <w:i/>
        </w:rPr>
        <w:t xml:space="preserve">Meta-classificazione: D3 × D9 — nodo di trasferimento tecnico verso un regime baathista — Livello A.</w:t>
      </w:r>
    </w:p>
    <w:p>
      <w:pPr>
        <w:pStyle w:val="BodyText"/>
      </w:pPr>
      <w:r>
        <w:t xml:space="preserve">Collaboratore diretto di Adolf Eichmann, rifugiato in Siria, consigliere dei servizi baathisti e istruttore di tecniche di interrogatorio e di tortura, formatore di quadri della Mukhabarat operando dall’area di Wadi Barada. Costituisce, insieme a von Leers, la prova che il transito di competenze dall’estrema destra europea agli Stati sunniti filo-sovietici è avvenuto realmente, ma attraverso un canale interamente diverso da quello lisboeta.</w:t>
      </w:r>
    </w:p>
    <w:p>
      <w:pPr>
        <w:pStyle w:val="BodyText"/>
      </w:pPr>
      <w:r>
        <w:rPr>
          <w:iCs/>
          <w:i/>
        </w:rPr>
        <w:t xml:space="preserve">Connessioni: Mukhabarat siriana; Partito Baath; Damasco; Wadi Barada; Adolf Eichmann.</w:t>
      </w:r>
    </w:p>
    <w:p>
      <w:pPr>
        <w:pStyle w:val="BodyText"/>
      </w:pPr>
      <w:r>
        <w:rPr>
          <w:bCs/>
          <w:b/>
        </w:rPr>
        <w:t xml:space="preserve">▶ Gamal Abdel Nasser</w:t>
      </w:r>
    </w:p>
    <w:p>
      <w:pPr>
        <w:pStyle w:val="BodyText"/>
      </w:pPr>
      <w:r>
        <w:rPr>
          <w:iCs/>
          <w:i/>
        </w:rPr>
        <w:t xml:space="preserve">Meta-classificazione: D2 × D9 — capo di Stato ricevente — Livello A.</w:t>
      </w:r>
    </w:p>
    <w:p>
      <w:pPr>
        <w:pStyle w:val="BodyText"/>
      </w:pPr>
      <w:r>
        <w:t xml:space="preserve">Presidente egiziano, destinatario e committente della consulenza militare e propagandistica delle reti nazi-tedesche in Egitto, avversario principale delle monarchie del Golfo nella guerra civile nordyemenita, sostenitore della Guinea-Conakry con aiuti aerei e armamento leggero in occasione dell’attacco portoghese del 1970. Nodo di massimo interesse per la coppia D2 × D3 nel teatro arabo, e insieme nodo per il quale nessun arco verso Aginter Press risulta documentato.</w:t>
      </w:r>
    </w:p>
    <w:p>
      <w:pPr>
        <w:pStyle w:val="BodyText"/>
      </w:pPr>
      <w:r>
        <w:rPr>
          <w:iCs/>
          <w:i/>
        </w:rPr>
        <w:t xml:space="preserve">Connessioni: Johann von Leers; Otto Skorzeny; Yemen del Nord; Sékou Touré; Lega Araba.</w:t>
      </w:r>
    </w:p>
    <w:p>
      <w:pPr>
        <w:pStyle w:val="BodyText"/>
      </w:pPr>
      <w:r>
        <w:rPr>
          <w:bCs/>
          <w:b/>
        </w:rPr>
        <w:t xml:space="preserve">▶ Muammar Gheddafi</w:t>
      </w:r>
    </w:p>
    <w:p>
      <w:pPr>
        <w:pStyle w:val="BodyText"/>
      </w:pPr>
      <w:r>
        <w:rPr>
          <w:iCs/>
          <w:i/>
        </w:rPr>
        <w:t xml:space="preserve">Meta-classificazione: D2 × D7 — Livello A.</w:t>
      </w:r>
    </w:p>
    <w:p>
      <w:pPr>
        <w:pStyle w:val="BodyText"/>
      </w:pPr>
      <w:r>
        <w:t xml:space="preserve">Capo di Stato libico, sostenitore del FROLINAT nella fase successiva al patrocinio algerino, protagonista del confronto ciadiano contro la Francia. Registrato per completezza del perimetro d’indagine: nessun arco verso Aginter Press risulta documentato.</w:t>
      </w:r>
    </w:p>
    <w:p>
      <w:pPr>
        <w:pStyle w:val="BodyText"/>
      </w:pPr>
      <w:r>
        <w:rPr>
          <w:iCs/>
          <w:i/>
        </w:rPr>
        <w:t xml:space="preserve">Connessioni: FROLINAT; Ciad; Algeria.</w:t>
      </w:r>
    </w:p>
    <w:bookmarkEnd w:id="31"/>
    <w:bookmarkStart w:id="32" w:name="X299a9941d47f4f41be7fa2d4aa3de40d6bdeef2"/>
    <w:p>
      <w:pPr>
        <w:pStyle w:val="Heading2"/>
      </w:pPr>
      <w:r>
        <w:t xml:space="preserve">A.5 — Il mercenariato europeo nei teatri arabi</w:t>
      </w:r>
    </w:p>
    <w:p>
      <w:pPr>
        <w:pStyle w:val="FirstParagraph"/>
      </w:pPr>
      <w:r>
        <w:rPr>
          <w:bCs/>
          <w:b/>
        </w:rPr>
        <w:t xml:space="preserve">▶ Bob Denard</w:t>
      </w:r>
    </w:p>
    <w:p>
      <w:pPr>
        <w:pStyle w:val="BodyText"/>
      </w:pPr>
      <w:r>
        <w:rPr>
          <w:iCs/>
          <w:i/>
        </w:rPr>
        <w:t xml:space="preserve">Meta-classificazione: D7 × D9 — Livello A.</w:t>
      </w:r>
    </w:p>
    <w:p>
      <w:pPr>
        <w:pStyle w:val="BodyText"/>
      </w:pPr>
      <w:r>
        <w:t xml:space="preserve">Mercenario francese, presente nella guerra civile nordyemenita a fianco delle forze realiste contro i repubblicani sostenuti da Nasser e da Mosca. Nodo dimostrativo per il Pattern 5: il teatro anti-nasseriano per eccellenza è occupato da una rete mercenaria francese, belga e britannica, finanziata da Riad e appoggiata da un ufficio londinese, entro la quale Aginter Press non compare.</w:t>
      </w:r>
    </w:p>
    <w:p>
      <w:pPr>
        <w:pStyle w:val="BodyText"/>
      </w:pPr>
      <w:r>
        <w:rPr>
          <w:iCs/>
          <w:i/>
        </w:rPr>
        <w:t xml:space="preserve">Connessioni: Yemen del Nord; monarchie del Golfo; reti mercenarie britanniche; Jacques Foccart (ambiente).</w:t>
      </w:r>
    </w:p>
    <w:p>
      <w:pPr>
        <w:pStyle w:val="BodyText"/>
      </w:pPr>
      <w:r>
        <w:rPr>
          <w:bCs/>
          <w:b/>
        </w:rPr>
        <w:t xml:space="preserve">▶ Jacques Foccart</w:t>
      </w:r>
    </w:p>
    <w:p>
      <w:pPr>
        <w:pStyle w:val="BodyText"/>
      </w:pPr>
      <w:r>
        <w:rPr>
          <w:iCs/>
          <w:i/>
        </w:rPr>
        <w:t xml:space="preserve">Meta-classificazione: D2 × D3 — Livello B.</w:t>
      </w:r>
    </w:p>
    <w:p>
      <w:pPr>
        <w:pStyle w:val="BodyText"/>
      </w:pPr>
      <w:r>
        <w:t xml:space="preserve">Responsabile della politica africana francese e dei relativi canali informali. I servizi a lui riconducibili forniscono le informazioni che fanno abortire il tentativo di colpo di Stato in Congo-Brazzaville del maggio 1968. Il nodo dimostra che Aginter non operava in un campo libero, ma in competizione e attrito con i servizi degli Stati occidentali stessi.</w:t>
      </w:r>
    </w:p>
    <w:p>
      <w:pPr>
        <w:pStyle w:val="BodyText"/>
      </w:pPr>
      <w:r>
        <w:rPr>
          <w:iCs/>
          <w:i/>
        </w:rPr>
        <w:t xml:space="preserve">Connessioni: Congo-Brazzaville; SDECE; Jacques Depret; Aginter Press (in posizione antagonista).</w:t>
      </w:r>
    </w:p>
    <w:p>
      <w:pPr>
        <w:pStyle w:val="BodyText"/>
      </w:pPr>
      <w:r>
        <w:rPr>
          <w:bCs/>
          <w:b/>
        </w:rPr>
        <w:t xml:space="preserve">▶ Moïse Tschombé</w:t>
      </w:r>
    </w:p>
    <w:p>
      <w:pPr>
        <w:pStyle w:val="BodyText"/>
      </w:pPr>
      <w:r>
        <w:rPr>
          <w:iCs/>
          <w:i/>
        </w:rPr>
        <w:t xml:space="preserve">Meta-classificazione: D2 — Livello B.</w:t>
      </w:r>
    </w:p>
    <w:p>
      <w:pPr>
        <w:pStyle w:val="BodyText"/>
      </w:pPr>
      <w:r>
        <w:t xml:space="preserve">Leader congolese a favore del quale Depret e Guérin-Sérac avrebbero concordato un intervento. Nodo di raccordo fra la filiera Aginter e il mercenariato del Congo e del Katanga.</w:t>
      </w:r>
    </w:p>
    <w:p>
      <w:pPr>
        <w:pStyle w:val="BodyText"/>
      </w:pPr>
      <w:r>
        <w:rPr>
          <w:iCs/>
          <w:i/>
        </w:rPr>
        <w:t xml:space="preserve">Connessioni: Jacques Depret; Katanga; Congo-Léopoldville.</w:t>
      </w:r>
    </w:p>
    <w:bookmarkEnd w:id="32"/>
    <w:bookmarkStart w:id="33" w:name="Xcc6f3e15d3de5ffb56965cdfb01ce7110653885"/>
    <w:p>
      <w:pPr>
        <w:pStyle w:val="Heading2"/>
      </w:pPr>
      <w:r>
        <w:t xml:space="preserve">A.6 — La filiera giudiziaria e investigativa italiana</w:t>
      </w:r>
    </w:p>
    <w:p>
      <w:pPr>
        <w:pStyle w:val="FirstParagraph"/>
      </w:pPr>
      <w:r>
        <w:rPr>
          <w:bCs/>
          <w:b/>
        </w:rPr>
        <w:t xml:space="preserve">▶ Guido Salvini</w:t>
      </w:r>
    </w:p>
    <w:p>
      <w:pPr>
        <w:pStyle w:val="BodyText"/>
      </w:pPr>
      <w:r>
        <w:rPr>
          <w:iCs/>
          <w:i/>
        </w:rPr>
        <w:t xml:space="preserve">Meta-classificazione: D10 — nodo di produzione probatoria — Livello A.</w:t>
      </w:r>
    </w:p>
    <w:p>
      <w:pPr>
        <w:pStyle w:val="BodyText"/>
      </w:pPr>
      <w:r>
        <w:t xml:space="preserve">Magistrato istruttore milanese, autore della sentenza-ordinanza che accerta i contatti fra Aginter Press, Ordine Nuovo e Avanguardia Nazionale e la formazione all’uso di esplosivi impartita a militanti italiani fra il 1967 e il 1968. È il nodo attraverso cui il teatro portoghese entra nel fascicolo italiano dello stragismo, e dunque il vero punto di innesto dell’intera vicenda Aginter nell’opera.</w:t>
      </w:r>
    </w:p>
    <w:p>
      <w:pPr>
        <w:pStyle w:val="BodyText"/>
      </w:pPr>
      <w:r>
        <w:rPr>
          <w:iCs/>
          <w:i/>
        </w:rPr>
        <w:t xml:space="preserve">Connessioni: Aginter Press; Ordine Nuovo; Avanguardia Nazionale; Guido Giannettini; Commissione Stragi.</w:t>
      </w:r>
    </w:p>
    <w:p>
      <w:pPr>
        <w:pStyle w:val="BodyText"/>
      </w:pPr>
      <w:r>
        <w:rPr>
          <w:bCs/>
          <w:b/>
        </w:rPr>
        <w:t xml:space="preserve">▶ Guido Giannettini</w:t>
      </w:r>
    </w:p>
    <w:p>
      <w:pPr>
        <w:pStyle w:val="BodyText"/>
      </w:pPr>
      <w:r>
        <w:rPr>
          <w:iCs/>
          <w:i/>
        </w:rPr>
        <w:t xml:space="preserve">Meta-classificazione: D3 × D8 × D7 — Livello A.</w:t>
      </w:r>
    </w:p>
    <w:p>
      <w:pPr>
        <w:pStyle w:val="BodyText"/>
      </w:pPr>
      <w:r>
        <w:t xml:space="preserve">Giornalista e collaboratore dei servizi, figura ricorrente nel raccordo fra apparati e ambienti eversivi, indicata nelle ricostruzioni giudiziarie fra i nodi del collegamento italiano con l’area Aginter. Esemplifica il tipo dell’arco di infiltrazione della tassonomia metodologica: appartiene formalmente al Dominio 8 e opera nel codice del Dominio 3.</w:t>
      </w:r>
    </w:p>
    <w:p>
      <w:pPr>
        <w:pStyle w:val="BodyText"/>
      </w:pPr>
      <w:r>
        <w:rPr>
          <w:iCs/>
          <w:i/>
        </w:rPr>
        <w:t xml:space="preserve">Connessioni: SID; Ordine Nuovo; Aginter Press; Guido Salvini.</w:t>
      </w:r>
    </w:p>
    <w:bookmarkEnd w:id="33"/>
    <w:bookmarkStart w:id="34" w:name="a.7-nodi-fonte-e-nodi-autore"/>
    <w:p>
      <w:pPr>
        <w:pStyle w:val="Heading2"/>
      </w:pPr>
      <w:r>
        <w:t xml:space="preserve">A.7 — Nodi-fonte e nodi-autore</w:t>
      </w:r>
    </w:p>
    <w:p>
      <w:pPr>
        <w:pStyle w:val="FirstParagraph"/>
      </w:pPr>
      <w:r>
        <w:rPr>
          <w:bCs/>
          <w:b/>
        </w:rPr>
        <w:t xml:space="preserve">✦ Jeffrey M. Bale</w:t>
      </w:r>
      <w:r>
        <w:t xml:space="preserve"> </w:t>
      </w:r>
      <w:r>
        <w:t xml:space="preserve">— Autore della tesi dottorale su The</w:t>
      </w:r>
      <w:r>
        <w:t xml:space="preserve"> </w:t>
      </w:r>
      <w:r>
        <w:t xml:space="preserve">“</w:t>
      </w:r>
      <w:r>
        <w:t xml:space="preserve">Black</w:t>
      </w:r>
      <w:r>
        <w:t xml:space="preserve">”</w:t>
      </w:r>
      <w:r>
        <w:t xml:space="preserve"> </w:t>
      </w:r>
      <w:r>
        <w:t xml:space="preserve">Terrorist International (Berkeley, 1994). Fonte accademica primaria per la ricostruzione delle reti neofasciste paramilitari e della strategia della tensione.</w:t>
      </w:r>
    </w:p>
    <w:p>
      <w:pPr>
        <w:pStyle w:val="BodyText"/>
      </w:pPr>
      <w:r>
        <w:rPr>
          <w:bCs/>
          <w:b/>
        </w:rPr>
        <w:t xml:space="preserve">✦ Pauline Picco</w:t>
      </w:r>
      <w:r>
        <w:t xml:space="preserve"> </w:t>
      </w:r>
      <w:r>
        <w:t xml:space="preserve">— Autrice di</w:t>
      </w:r>
      <w:r>
        <w:t xml:space="preserve"> </w:t>
      </w:r>
      <w:r>
        <w:rPr>
          <w:iCs/>
          <w:i/>
        </w:rPr>
        <w:t xml:space="preserve">Liaisons dangereuses</w:t>
      </w:r>
      <w:r>
        <w:t xml:space="preserve"> </w:t>
      </w:r>
      <w:r>
        <w:t xml:space="preserve">(Presses universitaires de Rennes, 2016), con il capitolo dedicato all’Aginter Presse come rete OAS, controsovversione e terrorismo. Fonte accademica di riferimento sulla struttura interna dell’agenzia.</w:t>
      </w:r>
    </w:p>
    <w:p>
      <w:pPr>
        <w:pStyle w:val="BodyText"/>
      </w:pPr>
      <w:r>
        <w:rPr>
          <w:bCs/>
          <w:b/>
        </w:rPr>
        <w:t xml:space="preserve">✦ George Roberts</w:t>
      </w:r>
      <w:r>
        <w:t xml:space="preserve"> </w:t>
      </w:r>
      <w:r>
        <w:t xml:space="preserve">— Autore dello studio su Cold War History (2016) e del volume su Dar es Salaam, fonte primaria per Operação Zona Leste e per la ricostruzione dell’assassinio Mondlane sulla base delle carte tanzaniane.</w:t>
      </w:r>
    </w:p>
    <w:p>
      <w:pPr>
        <w:pStyle w:val="BodyText"/>
      </w:pPr>
      <w:r>
        <w:rPr>
          <w:bCs/>
          <w:b/>
        </w:rPr>
        <w:t xml:space="preserve">✦ José Manuel Duarte de Jesus</w:t>
      </w:r>
      <w:r>
        <w:t xml:space="preserve"> </w:t>
      </w:r>
      <w:r>
        <w:t xml:space="preserve">— Ambasciatore e autore di</w:t>
      </w:r>
      <w:r>
        <w:t xml:space="preserve"> </w:t>
      </w:r>
      <w:r>
        <w:rPr>
          <w:iCs/>
          <w:i/>
        </w:rPr>
        <w:t xml:space="preserve">A Guerra Secreta de Salazar em África: Aginter Press</w:t>
      </w:r>
      <w:r>
        <w:t xml:space="preserve"> </w:t>
      </w:r>
      <w:r>
        <w:t xml:space="preserve">(2012), fonte per il piano Taty e per la corrispondenza dell’agente</w:t>
      </w:r>
      <w:r>
        <w:t xml:space="preserve"> </w:t>
      </w:r>
      <w:r>
        <w:t xml:space="preserve">“</w:t>
      </w:r>
      <w:r>
        <w:t xml:space="preserve">Lester</w:t>
      </w:r>
      <w:r>
        <w:t xml:space="preserve">”</w:t>
      </w:r>
      <w:r>
        <w:t xml:space="preserve">. Valutato come parzialmente speculativo.</w:t>
      </w:r>
    </w:p>
    <w:p>
      <w:pPr>
        <w:pStyle w:val="BodyText"/>
      </w:pPr>
      <w:r>
        <w:rPr>
          <w:bCs/>
          <w:b/>
        </w:rPr>
        <w:t xml:space="preserve">✦ Stuart Christie</w:t>
      </w:r>
      <w:r>
        <w:t xml:space="preserve"> </w:t>
      </w:r>
      <w:r>
        <w:t xml:space="preserve">— Autore del profilo su Delle Chiaie (1984), fonte per la composizione del personale dell’agenzia e per la genealogia del finanziamento; natura giornalistica, ampiamente citata.</w:t>
      </w:r>
    </w:p>
    <w:p>
      <w:pPr>
        <w:pStyle w:val="BodyText"/>
      </w:pPr>
      <w:r>
        <w:rPr>
          <w:bCs/>
          <w:b/>
        </w:rPr>
        <w:t xml:space="preserve">✦ Franco Ferraresi</w:t>
      </w:r>
      <w:r>
        <w:t xml:space="preserve"> </w:t>
      </w:r>
      <w:r>
        <w:t xml:space="preserve">— Fonte per il rilievo della somiglianza fra i documenti dottrinali dell’OACI e la successiva produzione teorica del terrorismo di destra italiano.</w:t>
      </w:r>
    </w:p>
    <w:p>
      <w:pPr>
        <w:pStyle w:val="BodyText"/>
      </w:pPr>
      <w:r>
        <w:rPr>
          <w:bCs/>
          <w:b/>
        </w:rPr>
        <w:t xml:space="preserve">✦ Daniele Ganser</w:t>
      </w:r>
      <w:r>
        <w:t xml:space="preserve"> </w:t>
      </w:r>
      <w:r>
        <w:t xml:space="preserve">— Autore di</w:t>
      </w:r>
      <w:r>
        <w:t xml:space="preserve"> </w:t>
      </w:r>
      <w:r>
        <w:rPr>
          <w:iCs/>
          <w:i/>
        </w:rPr>
        <w:t xml:space="preserve">NATO’s Secret Armies</w:t>
      </w:r>
      <w:r>
        <w:t xml:space="preserve"> </w:t>
      </w:r>
      <w:r>
        <w:t xml:space="preserve">(2005), utilizzato con la cautela imposta dalla contestazione accademica del suo metodo inferenziale, e solo dove converge con fonti giudiziarie o archivistiche.</w:t>
      </w:r>
    </w:p>
    <w:p>
      <w:pPr>
        <w:pStyle w:val="BodyText"/>
      </w:pPr>
      <w:r>
        <w:rPr>
          <w:bCs/>
          <w:b/>
        </w:rPr>
        <w:t xml:space="preserve">✦ Frédéric Laurent</w:t>
      </w:r>
      <w:r>
        <w:t xml:space="preserve"> </w:t>
      </w:r>
      <w:r>
        <w:t xml:space="preserve">— Autore de</w:t>
      </w:r>
      <w:r>
        <w:t xml:space="preserve"> </w:t>
      </w:r>
      <w:r>
        <w:rPr>
          <w:iCs/>
          <w:i/>
        </w:rPr>
        <w:t xml:space="preserve">L’Orchestre noir</w:t>
      </w:r>
      <w:r>
        <w:t xml:space="preserve"> </w:t>
      </w:r>
      <w:r>
        <w:t xml:space="preserve">(1978), fonte fondativa della letteratura sull’argomento, da maneggiare con cautela per la tendenza alla dilatazione della portata geografica dell’agenzia.</w:t>
      </w:r>
    </w:p>
    <w:p>
      <w:r>
        <w:pict>
          <v:rect style="width:0;height:1.5pt" o:hralign="center" o:hrstd="t" o:hr="t"/>
        </w:pict>
      </w:r>
    </w:p>
    <w:bookmarkEnd w:id="34"/>
    <w:bookmarkEnd w:id="35"/>
    <w:bookmarkStart w:id="36" w:name="sezione-b-nodi-organizzazione"/>
    <w:p>
      <w:pPr>
        <w:pStyle w:val="Heading1"/>
      </w:pPr>
      <w:r>
        <w:t xml:space="preserve">SEZIONE B — NODI-ORGANIZZAZIONE</w:t>
      </w:r>
    </w:p>
    <w:p>
      <w:pPr>
        <w:pStyle w:val="FirstParagraph"/>
      </w:pPr>
      <w:r>
        <w:rPr>
          <w:bCs/>
          <w:b/>
        </w:rPr>
        <w:t xml:space="preserve">◆ Aginter Press (Agence Internationale de Presse)</w:t>
      </w:r>
    </w:p>
    <w:p>
      <w:pPr>
        <w:pStyle w:val="BodyText"/>
      </w:pPr>
      <w:r>
        <w:rPr>
          <w:iCs/>
          <w:i/>
        </w:rPr>
        <w:t xml:space="preserve">Meta-classificazione: D3 × D7 × D8 — nodo-organizzazione apicale della rete di sessione — Livello A.</w:t>
      </w:r>
    </w:p>
    <w:p>
      <w:pPr>
        <w:pStyle w:val="BodyText"/>
      </w:pPr>
      <w:r>
        <w:t xml:space="preserve">Pseudo-agenzia di stampa fondata a Lisbona nel settembre 1966, con sede in rua das Praças nel quartiere di Lapa, operativa fino al 25 aprile 1974. Struttura tripartita: attività pubblica d’informazione mediante lettere confidenziali in abbonamento e materiale di propaganda; attività di intelligence, azione psicologica e spionaggio; reclutamento e impiego di mercenari per azioni armate anticomuniste. Rete di corrispondenti e basi estesa a Salisbury, Luanda, Bissau, Madrid, Amburgo, Vienna e Malmö.</w:t>
      </w:r>
    </w:p>
    <w:p>
      <w:pPr>
        <w:pStyle w:val="BodyText"/>
      </w:pPr>
      <w:r>
        <w:rPr>
          <w:iCs/>
          <w:i/>
        </w:rPr>
        <w:t xml:space="preserve">Connessioni: Guérin-Sérac; Leroy; Delle Chiaie; PIDE/DGS; CIA; BND; Dirección General de Seguridad; BOSS; KYP; Ordre et Tradition; OACI; Ordine Nuovo; Avanguardia Nazionale.</w:t>
      </w:r>
    </w:p>
    <w:p>
      <w:pPr>
        <w:pStyle w:val="BodyText"/>
      </w:pPr>
      <w:r>
        <w:rPr>
          <w:bCs/>
          <w:b/>
        </w:rPr>
        <w:t xml:space="preserve">◆ Ordre et Tradition</w:t>
      </w:r>
    </w:p>
    <w:p>
      <w:pPr>
        <w:pStyle w:val="BodyText"/>
      </w:pPr>
      <w:r>
        <w:rPr>
          <w:iCs/>
          <w:i/>
        </w:rPr>
        <w:t xml:space="preserve">Meta-classificazione: D4 × D7 — organizzazione politica clandestina — Livello A.</w:t>
      </w:r>
    </w:p>
    <w:p>
      <w:pPr>
        <w:pStyle w:val="BodyText"/>
      </w:pPr>
      <w:r>
        <w:t xml:space="preserve">Struttura politica occulta affiancata all’agenzia, con branca sudafricana operante a Johannesburg sotto la denominazione</w:t>
      </w:r>
      <w:r>
        <w:t xml:space="preserve"> </w:t>
      </w:r>
      <w:r>
        <w:rPr>
          <w:iCs/>
          <w:i/>
        </w:rPr>
        <w:t xml:space="preserve">Presença Ocidental</w:t>
      </w:r>
      <w:r>
        <w:t xml:space="preserve">. Rappresenta il livello ideologico-organizzativo della macchina, distinto tanto dalla copertura giornalistica quanto dal braccio armato.</w:t>
      </w:r>
    </w:p>
    <w:p>
      <w:pPr>
        <w:pStyle w:val="BodyText"/>
      </w:pPr>
      <w:r>
        <w:rPr>
          <w:iCs/>
          <w:i/>
        </w:rPr>
        <w:t xml:space="preserve">Connessioni: Aginter Press; OACI; Presença Ocidental; BOSS.</w:t>
      </w:r>
    </w:p>
    <w:p>
      <w:pPr>
        <w:pStyle w:val="BodyText"/>
      </w:pPr>
      <w:r>
        <w:rPr>
          <w:bCs/>
          <w:b/>
        </w:rPr>
        <w:t xml:space="preserve">◆ OACI — Organisation d’Action contre le Communisme International</w:t>
      </w:r>
    </w:p>
    <w:p>
      <w:pPr>
        <w:pStyle w:val="BodyText"/>
      </w:pPr>
      <w:r>
        <w:rPr>
          <w:iCs/>
          <w:i/>
        </w:rPr>
        <w:t xml:space="preserve">Meta-classificazione: D7 × D3 — braccio armato segreto — Livello A.</w:t>
      </w:r>
    </w:p>
    <w:p>
      <w:pPr>
        <w:pStyle w:val="BodyText"/>
      </w:pPr>
      <w:r>
        <w:t xml:space="preserve">Struttura clandestina di azione dell’ambiente Aginter, produttrice della documentazione dottrinale sequestrata nel 1974, fra cui il corso di Tattica articolato in cinque fasi — preparazione, pulizia e propaganda, guerriglia e terrorismo, liberazione parziale, insurrezione generale.</w:t>
      </w:r>
    </w:p>
    <w:p>
      <w:pPr>
        <w:pStyle w:val="BodyText"/>
      </w:pPr>
      <w:r>
        <w:rPr>
          <w:iCs/>
          <w:i/>
        </w:rPr>
        <w:t xml:space="preserve">Connessioni: Aginter Press; Ordre et Tradition; Ordine Nuovo;</w:t>
      </w:r>
      <w:r>
        <w:rPr>
          <w:iCs/>
          <w:i/>
        </w:rPr>
        <w:t xml:space="preserve"> </w:t>
      </w:r>
      <w:r>
        <w:rPr>
          <w:iCs/>
          <w:i/>
        </w:rPr>
        <w:t xml:space="preserve">“</w:t>
      </w:r>
      <w:r>
        <w:rPr>
          <w:iCs/>
          <w:i/>
        </w:rPr>
        <w:t xml:space="preserve">Notre action politique</w:t>
      </w:r>
      <w:r>
        <w:rPr>
          <w:iCs/>
          <w:i/>
        </w:rPr>
        <w:t xml:space="preserve">”</w:t>
      </w:r>
      <w:r>
        <w:rPr>
          <w:iCs/>
          <w:i/>
        </w:rPr>
        <w:t xml:space="preserve">.</w:t>
      </w:r>
    </w:p>
    <w:p>
      <w:pPr>
        <w:pStyle w:val="BodyText"/>
      </w:pPr>
      <w:r>
        <w:rPr>
          <w:bCs/>
          <w:b/>
        </w:rPr>
        <w:t xml:space="preserve">◆ PIDE / DGS</w:t>
      </w:r>
    </w:p>
    <w:p>
      <w:pPr>
        <w:pStyle w:val="BodyText"/>
      </w:pPr>
      <w:r>
        <w:rPr>
          <w:iCs/>
          <w:i/>
        </w:rPr>
        <w:t xml:space="preserve">Meta-classificazione: D3 × D10 — committente e finanziatore — Livello A.</w:t>
      </w:r>
    </w:p>
    <w:p>
      <w:pPr>
        <w:pStyle w:val="BodyText"/>
      </w:pPr>
      <w:r>
        <w:t xml:space="preserve">Polizia politica dell’Estado Novo, principale committente e finanziatrice di Aginter Press, per conto della quale l’agenzia svolge missioni di sovversione e destabilizzazione contro i movimenti di liberazione appoggiati da Mosca e da Pechino. I suoi archivi, conservati presso la Torre do Tombo con regolamento speciale di accesso, costituiscono la base documentale primaria della vicenda.</w:t>
      </w:r>
    </w:p>
    <w:p>
      <w:pPr>
        <w:pStyle w:val="BodyText"/>
      </w:pPr>
      <w:r>
        <w:rPr>
          <w:iCs/>
          <w:i/>
        </w:rPr>
        <w:t xml:space="preserve">Connessioni: Salazar; Aginter Press; Casimiro Monteiro; Torre do Tombo; Guerra Coloniale.</w:t>
      </w:r>
    </w:p>
    <w:p>
      <w:pPr>
        <w:pStyle w:val="BodyText"/>
      </w:pPr>
      <w:r>
        <w:rPr>
          <w:bCs/>
          <w:b/>
        </w:rPr>
        <w:t xml:space="preserve">◆ CIA e Operazione CHAOS</w:t>
      </w:r>
    </w:p>
    <w:p>
      <w:pPr>
        <w:pStyle w:val="BodyText"/>
      </w:pPr>
      <w:r>
        <w:rPr>
          <w:iCs/>
          <w:i/>
        </w:rPr>
        <w:t xml:space="preserve">Meta-classificazione: D3 — Livello B per il finanziamento indiretto, Livello C per il raccordo CHAOS.</w:t>
      </w:r>
    </w:p>
    <w:p>
      <w:pPr>
        <w:pStyle w:val="BodyText"/>
      </w:pPr>
      <w:r>
        <w:t xml:space="preserve">Indicata in un rapporto del servizio portoghese post-1974 fra i committenti indiretti dell’agenzia, per il tramite della polizia politica portoghese. Un’annotazione del ROS dei Carabinieri sulle attività di guerra psicologica e non ortodossa compiute in Italia fra il 1969 e il 1974 attraverso Aginter ipotizza una concordanza fra l’operazione CHAOS, avviata nel 1966, e le attività di infiltrazione e manipolazione dei gruppi maoisti condotte dall’agenzia. L’ipotesi è di concordanza funzionale, non di catena di comando accertata.</w:t>
      </w:r>
    </w:p>
    <w:p>
      <w:pPr>
        <w:pStyle w:val="BodyText"/>
      </w:pPr>
      <w:r>
        <w:rPr>
          <w:iCs/>
          <w:i/>
        </w:rPr>
        <w:t xml:space="preserve">Connessioni: Aginter Press; PIDE/DGS; ROS Carabinieri; gruppi maoisti europei.</w:t>
      </w:r>
    </w:p>
    <w:p>
      <w:pPr>
        <w:pStyle w:val="BodyText"/>
      </w:pPr>
      <w:r>
        <w:rPr>
          <w:bCs/>
          <w:b/>
        </w:rPr>
        <w:t xml:space="preserve">◆ BND — Organizzazione Gehlen; Dirección General de Seguridad; BOSS; KYP; CIO rhodesiano</w:t>
      </w:r>
    </w:p>
    <w:p>
      <w:pPr>
        <w:pStyle w:val="BodyText"/>
      </w:pPr>
      <w:r>
        <w:rPr>
          <w:iCs/>
          <w:i/>
        </w:rPr>
        <w:t xml:space="preserve">Meta-classificazione: D3 — cluster dei servizi committenti o cooperanti — Livello B.</w:t>
      </w:r>
    </w:p>
    <w:p>
      <w:pPr>
        <w:pStyle w:val="BodyText"/>
      </w:pPr>
      <w:r>
        <w:t xml:space="preserve">Insieme dei servizi indicati nella medesima fonte portoghese post-1974 come parte della rete di committenza e cooperazione dell’agenzia.</w:t>
      </w:r>
      <w:r>
        <w:t xml:space="preserve"> </w:t>
      </w:r>
      <w:r>
        <w:rPr>
          <w:bCs/>
          <w:b/>
        </w:rPr>
        <w:t xml:space="preserve">Rilievo strutturale dirimente: nessun servizio arabo o mediorientale figura in questo elenco.</w:t>
      </w:r>
      <w:r>
        <w:t xml:space="preserve"> </w:t>
      </w:r>
      <w:r>
        <w:t xml:space="preserve">L’assenza è registrata come dato analitico nella Sezione F.</w:t>
      </w:r>
    </w:p>
    <w:p>
      <w:pPr>
        <w:pStyle w:val="BodyText"/>
      </w:pPr>
      <w:r>
        <w:rPr>
          <w:iCs/>
          <w:i/>
        </w:rPr>
        <w:t xml:space="preserve">Connessioni: Aginter Press; PIDE/DGS; Presença Ocidental; Salisbury.</w:t>
      </w:r>
    </w:p>
    <w:p>
      <w:pPr>
        <w:pStyle w:val="BodyText"/>
      </w:pPr>
      <w:r>
        <w:rPr>
          <w:bCs/>
          <w:b/>
        </w:rPr>
        <w:t xml:space="preserve">◆ OAS — Organisation de l’armée secrète</w:t>
      </w:r>
    </w:p>
    <w:p>
      <w:pPr>
        <w:pStyle w:val="BodyText"/>
      </w:pPr>
      <w:r>
        <w:rPr>
          <w:iCs/>
          <w:i/>
        </w:rPr>
        <w:t xml:space="preserve">Meta-classificazione: D7 × D9 — bacino di reclutamento — Livello A.</w:t>
      </w:r>
    </w:p>
    <w:p>
      <w:pPr>
        <w:pStyle w:val="BodyText"/>
      </w:pPr>
      <w:r>
        <w:t xml:space="preserve">Organizzazione clandestina francese contraria all’indipendenza algerina, da cui secondo la stima riportata proviene circa il sessanta per cento del personale di Aginter nella fase di espansione latinoamericana, mentre il restante quaranta per cento è reclutato in organizzazioni neonaziste dell’Europa occidentale fra cui il Kampfbund Deutscher Soldaten con base a Francoforte. È il nodo che fissa la genealogia anti-algerina, e quindi strutturalmente anti-araba, dell’agenzia.</w:t>
      </w:r>
    </w:p>
    <w:p>
      <w:pPr>
        <w:pStyle w:val="BodyText"/>
      </w:pPr>
      <w:r>
        <w:rPr>
          <w:iCs/>
          <w:i/>
        </w:rPr>
        <w:t xml:space="preserve">Connessioni: Guérin-Sérac; Depret; Brune; Algeria; Kampfbund Deutscher Soldaten.</w:t>
      </w:r>
    </w:p>
    <w:p>
      <w:pPr>
        <w:pStyle w:val="BodyText"/>
      </w:pPr>
      <w:r>
        <w:rPr>
          <w:bCs/>
          <w:b/>
        </w:rPr>
        <w:t xml:space="preserve">◆ SDECE e 11e Choc</w:t>
      </w:r>
    </w:p>
    <w:p>
      <w:pPr>
        <w:pStyle w:val="BodyText"/>
      </w:pPr>
      <w:r>
        <w:rPr>
          <w:iCs/>
          <w:i/>
        </w:rPr>
        <w:t xml:space="preserve">Meta-classificazione: D3 × D9 — formazione d’origine — Livello A.</w:t>
      </w:r>
    </w:p>
    <w:p>
      <w:pPr>
        <w:pStyle w:val="BodyText"/>
      </w:pPr>
      <w:r>
        <w:t xml:space="preserve">Servizio francese e sua unità d’azione clandestina, matrice professionale di Guérin-Sérac e ambiente di provenienza di Depret. Nodo che documenta la migrazione di competenza dal servizio statale alla struttura privata clandestina secondo il modulo del Pattern 7.</w:t>
      </w:r>
    </w:p>
    <w:p>
      <w:pPr>
        <w:pStyle w:val="BodyText"/>
      </w:pPr>
      <w:r>
        <w:rPr>
          <w:iCs/>
          <w:i/>
        </w:rPr>
        <w:t xml:space="preserve">Connessioni: Guérin-Sérac; Depret; Foccart; OAS.</w:t>
      </w:r>
    </w:p>
    <w:p>
      <w:pPr>
        <w:pStyle w:val="BodyText"/>
      </w:pPr>
      <w:r>
        <w:rPr>
          <w:bCs/>
          <w:b/>
        </w:rPr>
        <w:t xml:space="preserve">◆ Ordine Nuovo e Avanguardia Nazionale</w:t>
      </w:r>
    </w:p>
    <w:p>
      <w:pPr>
        <w:pStyle w:val="BodyText"/>
      </w:pPr>
      <w:r>
        <w:rPr>
          <w:iCs/>
          <w:i/>
        </w:rPr>
        <w:t xml:space="preserve">Meta-classificazione: D7 × D2 — terminali italiani — Livello A.</w:t>
      </w:r>
    </w:p>
    <w:p>
      <w:pPr>
        <w:pStyle w:val="BodyText"/>
      </w:pPr>
      <w:r>
        <w:t xml:space="preserve">Organizzazioni dell’eversione di destra italiana i cui contatti con Aginter Press e la cui formazione all’uso di esplosivi fra il 1967 e il 1968 sono accertati in sede giudiziaria. Costituiscono il punto di innesto della vicenda nel teatro italiano e la ragione per cui il nodo Aginter appartiene di diritto al corpus di ITALIA NERA.</w:t>
      </w:r>
    </w:p>
    <w:p>
      <w:pPr>
        <w:pStyle w:val="BodyText"/>
      </w:pPr>
      <w:r>
        <w:rPr>
          <w:iCs/>
          <w:i/>
        </w:rPr>
        <w:t xml:space="preserve">Connessioni: Aginter Press; Delle Chiaie; Giannettini; Salvini; Piazza Fontana (contesto).</w:t>
      </w:r>
    </w:p>
    <w:p>
      <w:pPr>
        <w:pStyle w:val="BodyText"/>
      </w:pPr>
      <w:r>
        <w:rPr>
          <w:bCs/>
          <w:b/>
        </w:rPr>
        <w:t xml:space="preserve">◆ ROS dei Carabinieri e Commissione Parlamentare Stragi</w:t>
      </w:r>
    </w:p>
    <w:p>
      <w:pPr>
        <w:pStyle w:val="BodyText"/>
      </w:pPr>
      <w:r>
        <w:rPr>
          <w:iCs/>
          <w:i/>
        </w:rPr>
        <w:t xml:space="preserve">Meta-classificazione: D9 × D10 × D2 — produttori di documentazione istituzionale — Livello A.</w:t>
      </w:r>
    </w:p>
    <w:p>
      <w:pPr>
        <w:pStyle w:val="BodyText"/>
      </w:pPr>
      <w:r>
        <w:t xml:space="preserve">Il ROS con l’annotazione sulle attività di guerra psicologica compiute in Italia attraverso Aginter, la Commissione con gli atti che ne inquadrano il ruolo nel contesto della strategia della tensione. Insieme alla sentenza-ordinanza Salvini costituiscono la spina documentale italiana del fascicolo.</w:t>
      </w:r>
    </w:p>
    <w:p>
      <w:pPr>
        <w:pStyle w:val="BodyText"/>
      </w:pPr>
      <w:r>
        <w:rPr>
          <w:iCs/>
          <w:i/>
        </w:rPr>
        <w:t xml:space="preserve">Connessioni: Aginter Press; Salvini; Ordine Nuovo; CIA/CHAOS.</w:t>
      </w:r>
    </w:p>
    <w:p>
      <w:pPr>
        <w:pStyle w:val="BodyText"/>
      </w:pPr>
      <w:r>
        <w:rPr>
          <w:bCs/>
          <w:b/>
        </w:rPr>
        <w:t xml:space="preserve">◆ FRELIMO, PAIGC, MPLA, FNLA/GRAE, FLNG</w:t>
      </w:r>
    </w:p>
    <w:p>
      <w:pPr>
        <w:pStyle w:val="BodyText"/>
      </w:pPr>
      <w:r>
        <w:rPr>
          <w:iCs/>
          <w:i/>
        </w:rPr>
        <w:t xml:space="preserve">Meta-classificazione: D2 × D7 — cluster dei movimenti africani — Livello A.</w:t>
      </w:r>
    </w:p>
    <w:p>
      <w:pPr>
        <w:pStyle w:val="BodyText"/>
      </w:pPr>
      <w:r>
        <w:t xml:space="preserve">Insieme dei movimenti di liberazione e delle formazioni dissidenti che costituiscono il vero campo avverso di Aginter Press. Il FLNG figura come forza alleata dei portoghesi nell’Operação Mar Verde, con circa duecento effettivi. Il cluster definisce, per contrasto, il perimetro reale dell’agenzia: africano e subsahariano, non arabo.</w:t>
      </w:r>
    </w:p>
    <w:p>
      <w:pPr>
        <w:pStyle w:val="BodyText"/>
      </w:pPr>
      <w:r>
        <w:rPr>
          <w:iCs/>
          <w:i/>
        </w:rPr>
        <w:t xml:space="preserve">Connessioni: Mondlane; Cabral; Roberto; Taty; Sékou Touré; Spínola; Calvão.</w:t>
      </w:r>
    </w:p>
    <w:p>
      <w:pPr>
        <w:pStyle w:val="BodyText"/>
      </w:pPr>
      <w:r>
        <w:rPr>
          <w:bCs/>
          <w:b/>
        </w:rPr>
        <w:t xml:space="preserve">◆ Paladin Group</w:t>
      </w:r>
    </w:p>
    <w:p>
      <w:pPr>
        <w:pStyle w:val="BodyText"/>
      </w:pPr>
      <w:r>
        <w:rPr>
          <w:iCs/>
          <w:i/>
        </w:rPr>
        <w:t xml:space="preserve">Meta-classificazione: D3 × D7 — struttura di ripiegamento post-1974 — Livello B.</w:t>
      </w:r>
    </w:p>
    <w:p>
      <w:pPr>
        <w:pStyle w:val="BodyText"/>
      </w:pPr>
      <w:r>
        <w:t xml:space="preserve">Ambiente in cui Guérin-Sérac si ricolloca dopo la Rivoluzione dei Garofani, talvolta associato a Skorzeny. Costituisce il punto di massima prossimità documentabile fra la filiera Aginter e la filiera nazi-araba, e tuttavia una prossimità d’ambiente e non un arco operativo.</w:t>
      </w:r>
    </w:p>
    <w:p>
      <w:pPr>
        <w:pStyle w:val="BodyText"/>
      </w:pPr>
      <w:r>
        <w:rPr>
          <w:iCs/>
          <w:i/>
        </w:rPr>
        <w:t xml:space="preserve">Connessioni: Guérin-Sérac; Skorzeny; Spagna.</w:t>
      </w:r>
    </w:p>
    <w:p>
      <w:pPr>
        <w:pStyle w:val="BodyText"/>
      </w:pPr>
      <w:r>
        <w:rPr>
          <w:bCs/>
          <w:b/>
        </w:rPr>
        <w:t xml:space="preserve">◆ Mukhabarat siriana e Partito Baath</w:t>
      </w:r>
    </w:p>
    <w:p>
      <w:pPr>
        <w:pStyle w:val="BodyText"/>
      </w:pPr>
      <w:r>
        <w:rPr>
          <w:iCs/>
          <w:i/>
        </w:rPr>
        <w:t xml:space="preserve">Meta-classificazione: D3 × D2 — ricevente della consulenza nazi-tedesca — Livello A.</w:t>
      </w:r>
    </w:p>
    <w:p>
      <w:pPr>
        <w:pStyle w:val="BodyText"/>
      </w:pPr>
      <w:r>
        <w:t xml:space="preserve">Apparato di sicurezza siriano formato in parte da Brunner nelle tecniche di interrogatorio. Registrato per definire il terminale arabo della filiera alternativa.</w:t>
      </w:r>
    </w:p>
    <w:p>
      <w:pPr>
        <w:pStyle w:val="BodyText"/>
      </w:pPr>
      <w:r>
        <w:rPr>
          <w:iCs/>
          <w:i/>
        </w:rPr>
        <w:t xml:space="preserve">Connessioni: Alois Brunner; Damasco; Wadi Barada.</w:t>
      </w:r>
    </w:p>
    <w:p>
      <w:pPr>
        <w:pStyle w:val="BodyText"/>
      </w:pPr>
      <w:r>
        <w:rPr>
          <w:bCs/>
          <w:b/>
        </w:rPr>
        <w:t xml:space="preserve">◆ Lega Araba e Institute for the Study of Zionism</w:t>
      </w:r>
    </w:p>
    <w:p>
      <w:pPr>
        <w:pStyle w:val="BodyText"/>
      </w:pPr>
      <w:r>
        <w:rPr>
          <w:iCs/>
          <w:i/>
        </w:rPr>
        <w:t xml:space="preserve">Meta-classificazione: D2 × D8 — strutture di impiego di von Leers — Livello A.</w:t>
      </w:r>
    </w:p>
    <w:p>
      <w:pPr>
        <w:pStyle w:val="BodyText"/>
      </w:pPr>
      <w:r>
        <w:t xml:space="preserve">Sedi istituzionali dell’attività propagandistica dell’ideologo nazionalsocialista in Egitto, che documentano la formalizzazione statale del rapporto fra ex-nazisti e nazionalismo arabo.</w:t>
      </w:r>
    </w:p>
    <w:p>
      <w:pPr>
        <w:pStyle w:val="BodyText"/>
      </w:pPr>
      <w:r>
        <w:rPr>
          <w:iCs/>
          <w:i/>
        </w:rPr>
        <w:t xml:space="preserve">Connessioni: Johann von Leers; Nasser; Il Cairo.</w:t>
      </w:r>
    </w:p>
    <w:p>
      <w:pPr>
        <w:pStyle w:val="BodyText"/>
      </w:pPr>
      <w:r>
        <w:rPr>
          <w:bCs/>
          <w:b/>
        </w:rPr>
        <w:t xml:space="preserve">◆ FROLINAT</w:t>
      </w:r>
    </w:p>
    <w:p>
      <w:pPr>
        <w:pStyle w:val="BodyText"/>
      </w:pPr>
      <w:r>
        <w:rPr>
          <w:iCs/>
          <w:i/>
        </w:rPr>
        <w:t xml:space="preserve">Meta-classificazione: D7 × D2 — Livello A.</w:t>
      </w:r>
    </w:p>
    <w:p>
      <w:pPr>
        <w:pStyle w:val="BodyText"/>
      </w:pPr>
      <w:r>
        <w:t xml:space="preserve">Movimento ciadiano a componente musulmana, sostenuto dapprima dall’Algeria e successivamente dalla Libia di Gheddafi, avversato dalla Francia. Registrato per completezza del perimetro: nessun ruolo di Aginter risulta documentato.</w:t>
      </w:r>
    </w:p>
    <w:p>
      <w:pPr>
        <w:pStyle w:val="BodyText"/>
      </w:pPr>
      <w:r>
        <w:rPr>
          <w:iCs/>
          <w:i/>
        </w:rPr>
        <w:t xml:space="preserve">Connessioni: Gheddafi; Ciad; Algeria; Francia.</w:t>
      </w:r>
    </w:p>
    <w:p>
      <w:pPr>
        <w:pStyle w:val="BodyText"/>
      </w:pPr>
      <w:r>
        <w:rPr>
          <w:bCs/>
          <w:b/>
        </w:rPr>
        <w:t xml:space="preserve">◆ L’Europeo</w:t>
      </w:r>
    </w:p>
    <w:p>
      <w:pPr>
        <w:pStyle w:val="BodyText"/>
      </w:pPr>
      <w:r>
        <w:rPr>
          <w:iCs/>
          <w:i/>
        </w:rPr>
        <w:t xml:space="preserve">Meta-classificazione: D8 — nodo di disvelamento — Livello A.</w:t>
      </w:r>
    </w:p>
    <w:p>
      <w:pPr>
        <w:pStyle w:val="BodyText"/>
      </w:pPr>
      <w:r>
        <w:t xml:space="preserve">Periodico italiano i cui giornalisti fotografano per primi, nel novembre 1974, gli archivi di Aginter Press sequestrati dopo il 25 aprile. Nodo di rilievo strutturale: la conoscibilità dell’intera vicenda dipende da un atto giornalistico italiano compiuto su materiale portoghese, e questo determina la forma stessa di ciò che dell’agenzia sappiamo.</w:t>
      </w:r>
    </w:p>
    <w:p>
      <w:pPr>
        <w:pStyle w:val="BodyText"/>
      </w:pPr>
      <w:r>
        <w:rPr>
          <w:iCs/>
          <w:i/>
        </w:rPr>
        <w:t xml:space="preserve">Connessioni: Aginter Press; archivi sequestrati; Rivoluzione dei Garofani.</w:t>
      </w:r>
    </w:p>
    <w:p>
      <w:r>
        <w:pict>
          <v:rect style="width:0;height:1.5pt" o:hralign="center" o:hrstd="t" o:hr="t"/>
        </w:pict>
      </w:r>
    </w:p>
    <w:bookmarkEnd w:id="36"/>
    <w:bookmarkStart w:id="37" w:name="sezione-c-nodi-evento"/>
    <w:p>
      <w:pPr>
        <w:pStyle w:val="Heading1"/>
      </w:pPr>
      <w:r>
        <w:t xml:space="preserve">SEZIONE C — NODI-EVENTO</w:t>
      </w:r>
    </w:p>
    <w:p>
      <w:pPr>
        <w:pStyle w:val="FirstParagraph"/>
      </w:pPr>
      <w:r>
        <w:rPr>
          <w:bCs/>
          <w:b/>
        </w:rPr>
        <w:t xml:space="preserve">■ Fondazione di Aginter Press — settembre 1966, Lisbona.</w:t>
      </w:r>
      <w:r>
        <w:t xml:space="preserve"> </w:t>
      </w:r>
      <w:r>
        <w:rPr>
          <w:iCs/>
          <w:i/>
        </w:rPr>
        <w:t xml:space="preserve">Livello A.</w:t>
      </w:r>
      <w:r>
        <w:t xml:space="preserve"> </w:t>
      </w:r>
      <w:r>
        <w:t xml:space="preserve">Atto costitutivo della centrale. Coincide temporalmente con l’avvio dell’operazione CHAOS, elemento registrato come coincidenza temporale significativa e non come nesso causale.</w:t>
      </w:r>
    </w:p>
    <w:p>
      <w:pPr>
        <w:pStyle w:val="BodyText"/>
      </w:pPr>
      <w:r>
        <w:rPr>
          <w:bCs/>
          <w:b/>
        </w:rPr>
        <w:t xml:space="preserve">■ Piano Taty per l’implosione del GRAE — primi mesi del 1965, Angola.</w:t>
      </w:r>
      <w:r>
        <w:t xml:space="preserve"> </w:t>
      </w:r>
      <w:r>
        <w:rPr>
          <w:iCs/>
          <w:i/>
        </w:rPr>
        <w:t xml:space="preserve">Livello A.</w:t>
      </w:r>
      <w:r>
        <w:t xml:space="preserve"> </w:t>
      </w:r>
      <w:r>
        <w:t xml:space="preserve">Unico intervento di Aginter documentato in una colonia portoghese durante la Guerra Coloniale. Fallisce; Taty abbandona l’FNLA nello stesso anno.</w:t>
      </w:r>
    </w:p>
    <w:p>
      <w:pPr>
        <w:pStyle w:val="BodyText"/>
      </w:pPr>
      <w:r>
        <w:rPr>
          <w:bCs/>
          <w:b/>
        </w:rPr>
        <w:t xml:space="preserve">■ Tentato colpo di Stato in Congo-Brazzaville — maggio 1968.</w:t>
      </w:r>
      <w:r>
        <w:t xml:space="preserve"> </w:t>
      </w:r>
      <w:r>
        <w:rPr>
          <w:iCs/>
          <w:i/>
        </w:rPr>
        <w:t xml:space="preserve">Livello B.</w:t>
      </w:r>
      <w:r>
        <w:t xml:space="preserve"> </w:t>
      </w:r>
      <w:r>
        <w:t xml:space="preserve">Abortito grazie a informazioni fornite dai servizi francesi riconducibili all’ambiente Foccart.</w:t>
      </w:r>
    </w:p>
    <w:p>
      <w:pPr>
        <w:pStyle w:val="BodyText"/>
      </w:pPr>
      <w:r>
        <w:rPr>
          <w:bCs/>
          <w:b/>
        </w:rPr>
        <w:t xml:space="preserve">■ Operação Zona Leste — giugno 1968 / ottobre 1969, Africa orientale.</w:t>
      </w:r>
      <w:r>
        <w:t xml:space="preserve"> </w:t>
      </w:r>
      <w:r>
        <w:rPr>
          <w:iCs/>
          <w:i/>
        </w:rPr>
        <w:t xml:space="preserve">Livello B.</w:t>
      </w:r>
      <w:r>
        <w:t xml:space="preserve"> </w:t>
      </w:r>
      <w:r>
        <w:t xml:space="preserve">Serie di interventi di Aginter contro i nemici del Portogallo in Africa, entro cui si colloca l’attività di Robert Leroy in Tanzania.</w:t>
      </w:r>
    </w:p>
    <w:p>
      <w:pPr>
        <w:pStyle w:val="BodyText"/>
      </w:pPr>
      <w:r>
        <w:rPr>
          <w:bCs/>
          <w:b/>
        </w:rPr>
        <w:t xml:space="preserve">■ Assassinio di Eduardo Mondlane — 3 febbraio 1969, Dar es Salaam.</w:t>
      </w:r>
      <w:r>
        <w:t xml:space="preserve"> </w:t>
      </w:r>
      <w:r>
        <w:rPr>
          <w:iCs/>
          <w:i/>
        </w:rPr>
        <w:t xml:space="preserve">Livello A per il fatto, Livello C per l’attribuzione.</w:t>
      </w:r>
      <w:r>
        <w:t xml:space="preserve"> </w:t>
      </w:r>
      <w:r>
        <w:t xml:space="preserve">Oggetto della matrice ACH della Sezione H.</w:t>
      </w:r>
    </w:p>
    <w:p>
      <w:pPr>
        <w:pStyle w:val="BodyText"/>
      </w:pPr>
      <w:r>
        <w:rPr>
          <w:bCs/>
          <w:b/>
        </w:rPr>
        <w:t xml:space="preserve">■ Strage di Piazza Fontana — 12 dicembre 1969, Milano.</w:t>
      </w:r>
      <w:r>
        <w:t xml:space="preserve"> </w:t>
      </w:r>
      <w:r>
        <w:rPr>
          <w:iCs/>
          <w:i/>
        </w:rPr>
        <w:t xml:space="preserve">Livello A per il fatto.</w:t>
      </w:r>
      <w:r>
        <w:t xml:space="preserve"> </w:t>
      </w:r>
      <w:r>
        <w:t xml:space="preserve">Registrata come contesto: è l’evento rispetto al quale il ruolo dell’ambiente Aginter nella formazione dei militanti italiani assume rilievo giudiziario, senza che ciò equivalga ad attribuzione.</w:t>
      </w:r>
    </w:p>
    <w:p>
      <w:pPr>
        <w:pStyle w:val="BodyText"/>
      </w:pPr>
      <w:r>
        <w:rPr>
          <w:bCs/>
          <w:b/>
        </w:rPr>
        <w:t xml:space="preserve">■ Operação Mar Verde — 22 novembre 1970, Conakry.</w:t>
      </w:r>
      <w:r>
        <w:t xml:space="preserve"> </w:t>
      </w:r>
      <w:r>
        <w:rPr>
          <w:iCs/>
          <w:i/>
        </w:rPr>
        <w:t xml:space="preserve">Livello A.</w:t>
      </w:r>
      <w:r>
        <w:t xml:space="preserve"> </w:t>
      </w:r>
      <w:r>
        <w:t xml:space="preserve">Raid anfibio portoghese contro la Guinea di Sékou Touré. Aginter non figura fra i belligeranti nelle ricostruzioni standard. La Guinea riceve in tale occasione aiuti aerei e armamento leggero dall’Egitto e dalla Nigeria.</w:t>
      </w:r>
    </w:p>
    <w:p>
      <w:pPr>
        <w:pStyle w:val="BodyText"/>
      </w:pPr>
      <w:r>
        <w:rPr>
          <w:bCs/>
          <w:b/>
        </w:rPr>
        <w:t xml:space="preserve">■ Assassinio di Amílcar Cabral — 20 gennaio 1973, Conakry.</w:t>
      </w:r>
      <w:r>
        <w:t xml:space="preserve"> </w:t>
      </w:r>
      <w:r>
        <w:rPr>
          <w:iCs/>
          <w:i/>
        </w:rPr>
        <w:t xml:space="preserve">Livello A per il fatto, Livello C per l’attribuzione.</w:t>
      </w:r>
    </w:p>
    <w:p>
      <w:pPr>
        <w:pStyle w:val="BodyText"/>
      </w:pPr>
      <w:r>
        <w:rPr>
          <w:bCs/>
          <w:b/>
        </w:rPr>
        <w:t xml:space="preserve">■ Rivoluzione dei Garofani — 25 aprile 1974, Lisbona.</w:t>
      </w:r>
      <w:r>
        <w:t xml:space="preserve"> </w:t>
      </w:r>
      <w:r>
        <w:rPr>
          <w:iCs/>
          <w:i/>
        </w:rPr>
        <w:t xml:space="preserve">Livello A.</w:t>
      </w:r>
      <w:r>
        <w:t xml:space="preserve"> </w:t>
      </w:r>
      <w:r>
        <w:t xml:space="preserve">Evento-cesura: dissolve la copertura statale dell’agenzia, ne determina la fine operativa, il ripiegamento del fondatore in Spagna e il sequestro degli archivi. È l’evento che rende conoscibile l’oggetto, e dunque la condizione di possibilità dell’intero fascicolo.</w:t>
      </w:r>
    </w:p>
    <w:p>
      <w:pPr>
        <w:pStyle w:val="BodyText"/>
      </w:pPr>
      <w:r>
        <w:rPr>
          <w:bCs/>
          <w:b/>
        </w:rPr>
        <w:t xml:space="preserve">■ Sequestro e prima documentazione fotografica degli archivi — novembre 1974.</w:t>
      </w:r>
      <w:r>
        <w:t xml:space="preserve"> </w:t>
      </w:r>
      <w:r>
        <w:rPr>
          <w:iCs/>
          <w:i/>
        </w:rPr>
        <w:t xml:space="preserve">Livello A.</w:t>
      </w:r>
      <w:r>
        <w:t xml:space="preserve"> </w:t>
      </w:r>
      <w:r>
        <w:t xml:space="preserve">Atto compiuto dai giornalisti de</w:t>
      </w:r>
      <w:r>
        <w:t xml:space="preserve"> </w:t>
      </w:r>
      <w:r>
        <w:rPr>
          <w:iCs/>
          <w:i/>
        </w:rPr>
        <w:t xml:space="preserve">L’Europeo</w:t>
      </w:r>
      <w:r>
        <w:t xml:space="preserve">.</w:t>
      </w:r>
    </w:p>
    <w:p>
      <w:pPr>
        <w:pStyle w:val="BodyText"/>
      </w:pPr>
      <w:r>
        <w:rPr>
          <w:bCs/>
          <w:b/>
        </w:rPr>
        <w:t xml:space="preserve">■ Guerra civile nordyemenita — 1962-1970.</w:t>
      </w:r>
      <w:r>
        <w:t xml:space="preserve"> </w:t>
      </w:r>
      <w:r>
        <w:rPr>
          <w:iCs/>
          <w:i/>
        </w:rPr>
        <w:t xml:space="preserve">Livello A.</w:t>
      </w:r>
      <w:r>
        <w:t xml:space="preserve"> </w:t>
      </w:r>
      <w:r>
        <w:t xml:space="preserve">Teatro anti-nasseriano di impiego del mercenariato europeo, senza presenza documentata di Aginter.</w:t>
      </w:r>
    </w:p>
    <w:p>
      <w:pPr>
        <w:pStyle w:val="BodyText"/>
      </w:pPr>
      <w:r>
        <w:rPr>
          <w:bCs/>
          <w:b/>
        </w:rPr>
        <w:t xml:space="preserve">■ Guerra del Biafra — 1967-1970.</w:t>
      </w:r>
      <w:r>
        <w:t xml:space="preserve"> </w:t>
      </w:r>
      <w:r>
        <w:rPr>
          <w:iCs/>
          <w:i/>
        </w:rPr>
        <w:t xml:space="preserve">Livello A per il fatto, Livello B per il coinvolgimento dell’ambiente Aginter tramite Depret.</w:t>
      </w:r>
    </w:p>
    <w:p>
      <w:r>
        <w:pict>
          <v:rect style="width:0;height:1.5pt" o:hralign="center" o:hrstd="t" o:hr="t"/>
        </w:pict>
      </w:r>
    </w:p>
    <w:bookmarkEnd w:id="37"/>
    <w:bookmarkStart w:id="38" w:name="Xaba93c6e3442efd77ed499483128a70897bec73"/>
    <w:p>
      <w:pPr>
        <w:pStyle w:val="Heading1"/>
      </w:pPr>
      <w:r>
        <w:t xml:space="preserve">SEZIONE D — NODI-GEOGRAFICI E ZONE DI CONVERGENZA</w:t>
      </w:r>
    </w:p>
    <w:p>
      <w:pPr>
        <w:pStyle w:val="FirstParagraph"/>
      </w:pPr>
      <w:r>
        <w:rPr>
          <w:bCs/>
          <w:b/>
        </w:rPr>
        <w:t xml:space="preserve">▲ Lisbona — rua das Praças, quartiere di Lapa.</w:t>
      </w:r>
      <w:r>
        <w:t xml:space="preserve"> </w:t>
      </w:r>
      <w:r>
        <w:rPr>
          <w:iCs/>
          <w:i/>
        </w:rPr>
        <w:t xml:space="preserve">Livello A.</w:t>
      </w:r>
      <w:r>
        <w:t xml:space="preserve"> </w:t>
      </w:r>
      <w:r>
        <w:t xml:space="preserve">Sede dell’agenzia. Zona di convergenza D3 × D7 × D8 × D2: nel raggio della capitale dell’Estado Novo convergono la polizia politica committente, la struttura editoriale di copertura, il braccio armato clandestino e i canali di reclutamento europei. È la zona di convergenza spaziale di primo grado dell’intera rete di sessione secondo il Pattern 10.</w:t>
      </w:r>
    </w:p>
    <w:p>
      <w:pPr>
        <w:pStyle w:val="BodyText"/>
      </w:pPr>
      <w:r>
        <w:rPr>
          <w:bCs/>
          <w:b/>
        </w:rPr>
        <w:t xml:space="preserve">▲ Dar es Salaam.</w:t>
      </w:r>
      <w:r>
        <w:t xml:space="preserve"> </w:t>
      </w:r>
      <w:r>
        <w:rPr>
          <w:iCs/>
          <w:i/>
        </w:rPr>
        <w:t xml:space="preserve">Livello A.</w:t>
      </w:r>
      <w:r>
        <w:t xml:space="preserve"> </w:t>
      </w:r>
      <w:r>
        <w:t xml:space="preserve">Capitale della Tanzania, sede dei movimenti di liberazione dell’Africa australe, teatro dell’omicidio Mondlane e della penetrazione di Leroy sotto copertura giornalistica filo-cinese. Zona di convergenza D2 × D3 × D7.</w:t>
      </w:r>
    </w:p>
    <w:p>
      <w:pPr>
        <w:pStyle w:val="BodyText"/>
      </w:pPr>
      <w:r>
        <w:rPr>
          <w:bCs/>
          <w:b/>
        </w:rPr>
        <w:t xml:space="preserve">▲ Conakry.</w:t>
      </w:r>
      <w:r>
        <w:t xml:space="preserve"> </w:t>
      </w:r>
      <w:r>
        <w:rPr>
          <w:iCs/>
          <w:i/>
        </w:rPr>
        <w:t xml:space="preserve">Livello A.</w:t>
      </w:r>
      <w:r>
        <w:t xml:space="preserve"> </w:t>
      </w:r>
      <w:r>
        <w:t xml:space="preserve">Teatro dell’Operação Mar Verde e dell’omicidio Cabral, punto in cui convergono il regime filo-sovietico di Sékou Touré, il PAIGC, il FLNG dissidente e la forza anfibia portoghese, con appoggio esterno egiziano e nigeriano alla difesa. Zona di convergenza D2 × D7 × D9.</w:t>
      </w:r>
    </w:p>
    <w:p>
      <w:pPr>
        <w:pStyle w:val="BodyText"/>
      </w:pPr>
      <w:r>
        <w:rPr>
          <w:bCs/>
          <w:b/>
        </w:rPr>
        <w:t xml:space="preserve">▲ Rete delle basi e dei corrispondenti: Salisbury, Luanda, Bissau, Madrid, Amburgo, Vienna, Malmö, Johannesburg.</w:t>
      </w:r>
      <w:r>
        <w:t xml:space="preserve"> </w:t>
      </w:r>
      <w:r>
        <w:rPr>
          <w:iCs/>
          <w:i/>
        </w:rPr>
        <w:t xml:space="preserve">Livello B.</w:t>
      </w:r>
      <w:r>
        <w:t xml:space="preserve"> </w:t>
      </w:r>
      <w:r>
        <w:t xml:space="preserve">La geografia dichiarata dell’agenzia.</w:t>
      </w:r>
      <w:r>
        <w:t xml:space="preserve"> </w:t>
      </w:r>
      <w:r>
        <w:rPr>
          <w:bCs/>
          <w:b/>
        </w:rPr>
        <w:t xml:space="preserve">Rilievo dirimente: nessuna capitale araba figura in questa rete.</w:t>
      </w:r>
    </w:p>
    <w:p>
      <w:pPr>
        <w:pStyle w:val="BodyText"/>
      </w:pPr>
      <w:r>
        <w:rPr>
          <w:bCs/>
          <w:b/>
        </w:rPr>
        <w:t xml:space="preserve">▲ Il Cairo, Damasco, Wadi Barada.</w:t>
      </w:r>
      <w:r>
        <w:t xml:space="preserve"> </w:t>
      </w:r>
      <w:r>
        <w:rPr>
          <w:iCs/>
          <w:i/>
        </w:rPr>
        <w:t xml:space="preserve">Livello A per la filiera nazi-araba.</w:t>
      </w:r>
      <w:r>
        <w:t xml:space="preserve"> </w:t>
      </w:r>
      <w:r>
        <w:t xml:space="preserve">Terminali della filiera alternativa. Registrati come luoghi in cui l’estrema destra europea è realmente presente, ma per un canale distinto e in posizione servente rispetto a regimi filo-sovietici.</w:t>
      </w:r>
    </w:p>
    <w:p>
      <w:pPr>
        <w:pStyle w:val="BodyText"/>
      </w:pPr>
      <w:r>
        <w:rPr>
          <w:bCs/>
          <w:b/>
        </w:rPr>
        <w:t xml:space="preserve">▲ Torre do Tombo, Lisbona — Arquivo Salazar e fondo PIDE/DGS.</w:t>
      </w:r>
      <w:r>
        <w:t xml:space="preserve"> </w:t>
      </w:r>
      <w:r>
        <w:rPr>
          <w:iCs/>
          <w:i/>
        </w:rPr>
        <w:t xml:space="preserve">Livello A.</w:t>
      </w:r>
      <w:r>
        <w:t xml:space="preserve"> </w:t>
      </w:r>
      <w:r>
        <w:t xml:space="preserve">Sede archivistica primaria, ad accesso pubblico con regolamento speciale per il fondo della polizia politica. Nodo-infrastruttura della conoscibilità del fascicolo.</w:t>
      </w:r>
    </w:p>
    <w:p>
      <w:r>
        <w:pict>
          <v:rect style="width:0;height:1.5pt" o:hralign="center" o:hrstd="t" o:hr="t"/>
        </w:pict>
      </w:r>
    </w:p>
    <w:bookmarkEnd w:id="38"/>
    <w:bookmarkStart w:id="39" w:name="sezione-e-archi-inter-dominio-tipizzati"/>
    <w:p>
      <w:pPr>
        <w:pStyle w:val="Heading1"/>
      </w:pPr>
      <w:r>
        <w:t xml:space="preserve">SEZIONE E — ARCHI INTER-DOMINIO TIPIZZATI</w:t>
      </w:r>
    </w:p>
    <w:p>
      <w:pPr>
        <w:pStyle w:val="FirstParagraph"/>
      </w:pPr>
      <w:r>
        <w:t xml:space="preserve">Gli archi sono classificati secondo la tassonomia quinaria della Nota Metodologica.</w:t>
      </w:r>
    </w:p>
    <w:p>
      <w:pPr>
        <w:pStyle w:val="BodyText"/>
      </w:pPr>
      <w:r>
        <w:rPr>
          <w:bCs/>
          <w:b/>
        </w:rPr>
        <w:t xml:space="preserve">Archi di collusione.</w:t>
      </w:r>
      <w:r>
        <w:t xml:space="preserve"> </w:t>
      </w:r>
      <w:r>
        <w:t xml:space="preserve">PIDE/DGS × Aginter Press, arco D3 × D7 di livello A: relazione stabile e reciprocamente vantaggiosa fra un servizio di Stato e una struttura clandestina privata, in violazione delle regole di entrambi i domini. CIA × Aginter Press per il tramite portoghese, arco D3 × D7 di livello B.</w:t>
      </w:r>
    </w:p>
    <w:p>
      <w:pPr>
        <w:pStyle w:val="BodyText"/>
      </w:pPr>
      <w:r>
        <w:rPr>
          <w:bCs/>
          <w:b/>
        </w:rPr>
        <w:t xml:space="preserve">Archi di strumentalizzazione.</w:t>
      </w:r>
      <w:r>
        <w:t xml:space="preserve"> </w:t>
      </w:r>
      <w:r>
        <w:t xml:space="preserve">Aginter Press × militanti neofascisti italiani, arco D7 × D7 con proiezione D3, livello A: la centrale impiega manovalanza politica straniera per finalità di destabilizzazione che eccedono gli obiettivi dichiarati dei destinatari della formazione. Aginter Press × Alexandre Taty, arco D7 × D2 di livello A: impiego di un dirigente di movimento come innesco della sua implosione.</w:t>
      </w:r>
    </w:p>
    <w:p>
      <w:pPr>
        <w:pStyle w:val="BodyText"/>
      </w:pPr>
      <w:r>
        <w:rPr>
          <w:bCs/>
          <w:b/>
        </w:rPr>
        <w:t xml:space="preserve">Archi di infiltrazione.</w:t>
      </w:r>
      <w:r>
        <w:t xml:space="preserve"> </w:t>
      </w:r>
      <w:r>
        <w:t xml:space="preserve">Robert Leroy × FRELIMO, arco D3 × D2 di livello B: l’agente assume l’identità formale del giornalista marxista-leninista filo-cinese mantenendo la lealtà d’origine. Guido Giannettini, arco D8 × D3 di livello A: appartenenza formale al dominio dell’informazione, operatività nel codice dell’intelligence.</w:t>
      </w:r>
    </w:p>
    <w:p>
      <w:pPr>
        <w:pStyle w:val="BodyText"/>
      </w:pPr>
      <w:r>
        <w:rPr>
          <w:bCs/>
          <w:b/>
        </w:rPr>
        <w:t xml:space="preserve">Archi di convergenza.</w:t>
      </w:r>
      <w:r>
        <w:t xml:space="preserve"> </w:t>
      </w:r>
      <w:r>
        <w:t xml:space="preserve">Aginter Press × servizi occidentali nel campo africano, livello B: attori formalmente alleati producono effetti convergenti sulla destabilizzazione dei regimi filo-sovietici senza catena di comando unificata, come mostra il caso di Congo-Brazzaville in cui la convergenza si rovescia in attrito. Filiera nazi-araba × regimi baathisti e nasseriano, livello A: convergenza fra estrema destra europea e nazionalismo arabo filo-sovietico su un terzo termine — l’antisionismo — in assenza di comunanza ideologica sul comunismo.</w:t>
      </w:r>
    </w:p>
    <w:p>
      <w:pPr>
        <w:pStyle w:val="BodyText"/>
      </w:pPr>
      <w:r>
        <w:rPr>
          <w:bCs/>
          <w:b/>
        </w:rPr>
        <w:t xml:space="preserve">Archi di transito.</w:t>
      </w:r>
      <w:r>
        <w:t xml:space="preserve"> </w:t>
      </w:r>
      <w:r>
        <w:t xml:space="preserve">Migrazione di competenza SDECE/11e Choc → OAS → Aginter Press → eversione italiana, livello A per i segmenti terminali: flusso di dottrina controinsurrezionale, tecnica esplosivistica e metodo di guerra psicologica che attraversa quattro domini e tre giurisdizioni. È il flusso strutturale principale della rete di sessione, e soddisfa il criterio di validazione del Pattern 4 in quanto confermato da eventi indipendenti in periodi distinti.</w:t>
      </w:r>
    </w:p>
    <w:p>
      <w:r>
        <w:pict>
          <v:rect style="width:0;height:1.5pt" o:hralign="center" o:hrstd="t" o:hr="t"/>
        </w:pict>
      </w:r>
    </w:p>
    <w:bookmarkEnd w:id="39"/>
    <w:bookmarkStart w:id="40" w:name="X1ed869da638aa04553d4a9274fff899eb5ea195"/>
    <w:p>
      <w:pPr>
        <w:pStyle w:val="Heading1"/>
      </w:pPr>
      <w:r>
        <w:t xml:space="preserve">SEZIONE F — REGISTRO DEGLI ESITI NEGATIVI E DEI BUCHI STRUTTURALI</w:t>
      </w:r>
    </w:p>
    <w:p>
      <w:pPr>
        <w:pStyle w:val="FirstParagraph"/>
      </w:pPr>
      <w:r>
        <w:t xml:space="preserve">Questa sezione registra le connessioni cercate e non trovate. Nella logica della Nota Metodologica l’assenza di una connessione attesa è dato analitico di pari dignità rispetto alla connessione accertata.</w:t>
      </w:r>
    </w:p>
    <w:p>
      <w:pPr>
        <w:pStyle w:val="BodyText"/>
      </w:pPr>
      <w:r>
        <w:rPr>
          <w:bCs/>
          <w:b/>
        </w:rPr>
        <w:t xml:space="preserve">Esito negativo primario.</w:t>
      </w:r>
      <w:r>
        <w:t xml:space="preserve"> </w:t>
      </w:r>
      <w:r>
        <w:t xml:space="preserve">Non risulta documentazione di uffici, corrispondenti, agenti od operazioni di Aginter Press in Egitto, Siria, Iraq, Libia, Algeria indipendente, Sudan, Somalia e Yemen del Sud. La ricerca ha interrogato gli archivi giudiziari italiani, gli archivi portoghesi, la letteratura accademica di riferimento e la documentazione declassificata accessibile. L’esito è negativo su tutte le direttrici.</w:t>
      </w:r>
    </w:p>
    <w:p>
      <w:pPr>
        <w:pStyle w:val="BodyText"/>
      </w:pPr>
      <w:r>
        <w:rPr>
          <w:bCs/>
          <w:b/>
        </w:rPr>
        <w:t xml:space="preserve">Esito negativo secondario.</w:t>
      </w:r>
      <w:r>
        <w:t xml:space="preserve"> </w:t>
      </w:r>
      <w:r>
        <w:t xml:space="preserve">Nessun servizio arabo o mediorientale compare nell’elenco dei committenti e cooperanti dell’agenzia riportato dalla fonte portoghese post-1974, che pure elenca sette servizi di quattro continenti.</w:t>
      </w:r>
    </w:p>
    <w:p>
      <w:pPr>
        <w:pStyle w:val="BodyText"/>
      </w:pPr>
      <w:r>
        <w:rPr>
          <w:bCs/>
          <w:b/>
        </w:rPr>
        <w:t xml:space="preserve">Esito negativo terziario.</w:t>
      </w:r>
      <w:r>
        <w:t xml:space="preserve"> </w:t>
      </w:r>
      <w:r>
        <w:t xml:space="preserve">Nessuna capitale araba compare nella geografia delle basi e dei corrispondenti dell’agenzia, che pure copre Africa australe, Africa lusofona, Europa mediterranea, Europa centrale ed Europa scandinava.</w:t>
      </w:r>
    </w:p>
    <w:p>
      <w:pPr>
        <w:pStyle w:val="BodyText"/>
      </w:pPr>
      <w:r>
        <w:rPr>
          <w:bCs/>
          <w:b/>
        </w:rPr>
        <w:t xml:space="preserve">Esito negativo quaternario.</w:t>
      </w:r>
      <w:r>
        <w:t xml:space="preserve"> </w:t>
      </w:r>
      <w:r>
        <w:t xml:space="preserve">Nei tre teatri in cui uno Stato sunnita filo-sovietico è parte belligerante e in cui mercenari europei sono realmente impiegati — Yemen del Nord, Biafra, Ciad — Aginter Press non compare, con la sola eccezione indiziaria dell’accordo Depret sul Biafra, il cui carattere è tuttavia françafricain.</w:t>
      </w:r>
    </w:p>
    <w:p>
      <w:pPr>
        <w:pStyle w:val="BodyText"/>
      </w:pPr>
      <w:r>
        <w:rPr>
          <w:bCs/>
          <w:b/>
        </w:rPr>
        <w:t xml:space="preserve">Buco strutturale accertato.</w:t>
      </w:r>
      <w:r>
        <w:t xml:space="preserve"> </w:t>
      </w:r>
      <w:r>
        <w:t xml:space="preserve">L’unico arco fra Aginter Press e uno Stato arabo ha direzione invertita rispetto all’ipotesi: l’Algeria indipendente non è bersaglio ma fonte, avendo trasmesso alla magistratura italiana documentazione sull’agente Sablonsky. La rete presenta dunque, fra il nodo-organizzazione apicale e l’intero cluster arabo, un vuoto quasi perfetto attraversato da un solo arco di segno contrario.</w:t>
      </w:r>
    </w:p>
    <w:p>
      <w:pPr>
        <w:pStyle w:val="BodyText"/>
      </w:pPr>
      <w:r>
        <w:rPr>
          <w:bCs/>
          <w:b/>
        </w:rPr>
        <w:t xml:space="preserve">Interpretazione strutturale del vuoto.</w:t>
      </w:r>
      <w:r>
        <w:t xml:space="preserve"> </w:t>
      </w:r>
      <w:r>
        <w:t xml:space="preserve">Il buco non è casuale ed è spiegabile funzionalmente. La genealogia dell’agenzia è anti-algerina — l’OAS combatté contro l’indipendenza araba — e la sua committenza è portoghese-coloniale, dunque orientata all’Africa lusofona. Un dispositivo nato per la conservazione dell’impero portoghese e reclutato fra i reduci della guerra d’Algeria non aveva né mandato né accesso né credibilità operativa nel mondo arabo. La configurazione della rete è coerente con la sua storia; l’assenza è la prova della coerenza, non della lacuna documentale.</w:t>
      </w:r>
    </w:p>
    <w:p>
      <w:r>
        <w:pict>
          <v:rect style="width:0;height:1.5pt" o:hralign="center" o:hrstd="t" o:hr="t"/>
        </w:pict>
      </w:r>
    </w:p>
    <w:bookmarkEnd w:id="40"/>
    <w:bookmarkStart w:id="41" w:name="sezione-g-pattern-analitici-applicati"/>
    <w:p>
      <w:pPr>
        <w:pStyle w:val="Heading1"/>
      </w:pPr>
      <w:r>
        <w:t xml:space="preserve">SEZIONE G — PATTERN ANALITICI APPLICATI</w:t>
      </w:r>
    </w:p>
    <w:p>
      <w:pPr>
        <w:pStyle w:val="FirstParagraph"/>
      </w:pPr>
      <w:r>
        <w:rPr>
          <w:bCs/>
          <w:b/>
        </w:rPr>
        <w:t xml:space="preserve">Pattern 1, Hub Analysis.</w:t>
      </w:r>
      <w:r>
        <w:t xml:space="preserve"> </w:t>
      </w:r>
      <w:r>
        <w:t xml:space="preserve">Il nodo Guérin-Sérac risulta apicale su tutte e quattro le misure di centralità nella rete di sessione. Il nodo PIDE/DGS è apicale per centralità di autovettore, essendo connesso ai nodi a loro volta più connessi. Il nodo Leroy presenta la configurazione tipica del broker: grado modesto, intermediazione altissima verso il teatro africano orientale.</w:t>
      </w:r>
    </w:p>
    <w:p>
      <w:pPr>
        <w:pStyle w:val="BodyText"/>
      </w:pPr>
      <w:r>
        <w:rPr>
          <w:bCs/>
          <w:b/>
        </w:rPr>
        <w:t xml:space="preserve">Pattern 2, Community Detection.</w:t>
      </w:r>
      <w:r>
        <w:t xml:space="preserve"> </w:t>
      </w:r>
      <w:r>
        <w:t xml:space="preserve">Emergono tre comunità distinte e debolmente connesse: la comunità lisboeta-africana, la comunità italiana dello stragismo, la comunità nazi-araba. Le prime due sono collegate da archi accertati; la terza è separata da un vuoto attraversato da un solo arco di prossimità d’ambiente, quello Skorzeny–Paladin.</w:t>
      </w:r>
      <w:r>
        <w:t xml:space="preserve"> </w:t>
      </w:r>
      <w:r>
        <w:rPr>
          <w:bCs/>
          <w:b/>
        </w:rPr>
        <w:t xml:space="preserve">La separazione della terza comunità è il risultato analitico centrale della sessione.</w:t>
      </w:r>
    </w:p>
    <w:p>
      <w:pPr>
        <w:pStyle w:val="BodyText"/>
      </w:pPr>
      <w:r>
        <w:rPr>
          <w:bCs/>
          <w:b/>
        </w:rPr>
        <w:t xml:space="preserve">Pattern 3, Temporal Network Analysis.</w:t>
      </w:r>
      <w:r>
        <w:t xml:space="preserve"> </w:t>
      </w:r>
      <w:r>
        <w:t xml:space="preserve">Si individua una finestra critica di massima densità inter-dominio nel triennio 1968-1970: Operação Zona Leste, tentato golpe a Brazzaville, omicidio Mondlane, formazione dei militanti italiani, Piazza Fontana, Operação Mar Verde. La coincidenza è registrata come significativa e non come dimostrazione di piano unitario.</w:t>
      </w:r>
    </w:p>
    <w:p>
      <w:pPr>
        <w:pStyle w:val="BodyText"/>
      </w:pPr>
      <w:r>
        <w:rPr>
          <w:bCs/>
          <w:b/>
        </w:rPr>
        <w:t xml:space="preserve">Pattern 4, Flow Analysis.</w:t>
      </w:r>
      <w:r>
        <w:t xml:space="preserve"> </w:t>
      </w:r>
      <w:r>
        <w:t xml:space="preserve">Il flusso strutturale identificato è quello della dottrina controinsurrezionale dalla Francia coloniale all’eversione italiana per il tramite portoghese, con collo di bottiglia nel nodo Lisbona.</w:t>
      </w:r>
    </w:p>
    <w:p>
      <w:pPr>
        <w:pStyle w:val="BodyText"/>
      </w:pPr>
      <w:r>
        <w:rPr>
          <w:bCs/>
          <w:b/>
        </w:rPr>
        <w:t xml:space="preserve">Pattern 5, Structural Holes.</w:t>
      </w:r>
      <w:r>
        <w:t xml:space="preserve"> </w:t>
      </w:r>
      <w:r>
        <w:t xml:space="preserve">Interamente sviluppato nella Sezione F.</w:t>
      </w:r>
    </w:p>
    <w:p>
      <w:pPr>
        <w:pStyle w:val="BodyText"/>
      </w:pPr>
      <w:r>
        <w:rPr>
          <w:bCs/>
          <w:b/>
        </w:rPr>
        <w:t xml:space="preserve">Pattern 6, Analysis of Competing Hypotheses.</w:t>
      </w:r>
      <w:r>
        <w:t xml:space="preserve"> </w:t>
      </w:r>
      <w:r>
        <w:t xml:space="preserve">Sviluppato nella Sezione H.</w:t>
      </w:r>
    </w:p>
    <w:p>
      <w:pPr>
        <w:pStyle w:val="BodyText"/>
      </w:pPr>
      <w:r>
        <w:rPr>
          <w:bCs/>
          <w:b/>
        </w:rPr>
        <w:t xml:space="preserve">Pattern 7, Career Path Analysis.</w:t>
      </w:r>
      <w:r>
        <w:t xml:space="preserve"> </w:t>
      </w:r>
      <w:r>
        <w:t xml:space="preserve">Traiettoria-tipo documentata: servizio d’azione statale, organizzazione clandestina antinsurrezionale, esilio politico, struttura privata di intelligence sotto copertura giornalistica, ricollocazione in ambiente mercenario post-crollo. La ripetizione della traiettoria in Guérin-Sérac, Depret e in parte del personale ex-OAS configura un corridoio strutturale fra D9, D3 e D7.</w:t>
      </w:r>
    </w:p>
    <w:p>
      <w:pPr>
        <w:pStyle w:val="BodyText"/>
      </w:pPr>
      <w:r>
        <w:rPr>
          <w:bCs/>
          <w:b/>
        </w:rPr>
        <w:t xml:space="preserve">Pattern 8, Shock Doctrine Analysis.</w:t>
      </w:r>
      <w:r>
        <w:t xml:space="preserve"> </w:t>
      </w:r>
      <w:r>
        <w:t xml:space="preserve">La Guerra Coloniale portoghese funziona da crisi permanente che rende porosi i confini fra Dominio 3, Dominio 7 e Dominio 9 e consente la delega di funzioni statali a una struttura privata clandestina. La cessazione della crisi, con il 25 aprile 1974, dissolve la struttura in pochi giorni: prova a contrario della dipendenza del dispositivo dalla condizione emergenziale.</w:t>
      </w:r>
    </w:p>
    <w:p>
      <w:pPr>
        <w:pStyle w:val="BodyText"/>
      </w:pPr>
      <w:r>
        <w:rPr>
          <w:bCs/>
          <w:b/>
        </w:rPr>
        <w:t xml:space="preserve">Pattern 9, Dynastic Analysis.</w:t>
      </w:r>
      <w:r>
        <w:t xml:space="preserve"> </w:t>
      </w:r>
      <w:r>
        <w:t xml:space="preserve">Non applicabile alla rete di sessione: nessuna trasmissione generazionale del potere risulta rilevata. Esito negativo registrato.</w:t>
      </w:r>
    </w:p>
    <w:p>
      <w:pPr>
        <w:pStyle w:val="BodyText"/>
      </w:pPr>
      <w:r>
        <w:rPr>
          <w:bCs/>
          <w:b/>
        </w:rPr>
        <w:t xml:space="preserve">Pattern 10, Spatial Overlay.</w:t>
      </w:r>
      <w:r>
        <w:t xml:space="preserve"> </w:t>
      </w:r>
      <w:r>
        <w:t xml:space="preserve">Sviluppato nella Sezione D.</w:t>
      </w:r>
    </w:p>
    <w:p>
      <w:pPr>
        <w:pStyle w:val="BodyText"/>
      </w:pPr>
      <w:r>
        <w:rPr>
          <w:bCs/>
          <w:b/>
        </w:rPr>
        <w:t xml:space="preserve">Pattern 11, Structural Isomorphism.</w:t>
      </w:r>
      <w:r>
        <w:t xml:space="preserve"> </w:t>
      </w:r>
      <w:r>
        <w:t xml:space="preserve">Sviluppato nella Sezione I.</w:t>
      </w:r>
    </w:p>
    <w:p>
      <w:r>
        <w:pict>
          <v:rect style="width:0;height:1.5pt" o:hralign="center" o:hrstd="t" o:hr="t"/>
        </w:pict>
      </w:r>
    </w:p>
    <w:bookmarkEnd w:id="41"/>
    <w:bookmarkStart w:id="42" w:name="Xc14ead5d6051f78a436d3ec673fd84cf0c9f4ed"/>
    <w:p>
      <w:pPr>
        <w:pStyle w:val="Heading1"/>
      </w:pPr>
      <w:r>
        <w:t xml:space="preserve">SEZIONE H — MATRICE DELLE IPOTESI CONCORRENTI SUI DUE OMICIDI</w:t>
      </w:r>
    </w:p>
    <w:p>
      <w:pPr>
        <w:pStyle w:val="FirstParagraph"/>
      </w:pPr>
      <w:r>
        <w:t xml:space="preserve">Sull’assassinio di Eduardo Mondlane si formulano tre ipotesi. La prima attribuisce l’atto ad Aginter Press per conto della PIDE, sostenuta dalla presenza documentata di Leroy in Africa orientale nel periodo e dal contatto diretto con la vittima. La seconda attribuisce l’atto a una faida interna al FRELIMO, sostenuta dall’accertamento del CID tanzaniano secondo cui l’ordigno fu introdotto nella corrispondenza da un membro del movimento. La terza attribuisce l’atto alla PIDE per via diretta tramite l’agente Casimiro Monteiro.</w:t>
      </w:r>
    </w:p>
    <w:p>
      <w:pPr>
        <w:pStyle w:val="BodyText"/>
      </w:pPr>
      <w:r>
        <w:t xml:space="preserve">Applicando il criterio di Heuer, l’evidenza diagnostica non è la presenza di Leroy — compatibile con tutte e tre le ipotesi, poiché la sua attività informativa può essere preparatoria tanto per Aginter quanto per la PIDE — bensì la costruzione locale dell’ordigno e la sua introduzione da parte di un interno. Questa evidenza è pienamente coerente con la seconda ipotesi, coerente con la terza e solo parzialmente coerente con la prima, che richiederebbe un ulteriore anello di reclutamento interno non documentato. Il falso francobollo sovietico è evidenza di depistaggio ma non discrimina fra le ipotesi, essendo compatibile con qualunque autore interessato ad attribuire l’atto a Mosca.</w:t>
      </w:r>
    </w:p>
    <w:p>
      <w:pPr>
        <w:pStyle w:val="BodyText"/>
      </w:pPr>
      <w:r>
        <w:rPr>
          <w:bCs/>
          <w:b/>
        </w:rPr>
        <w:t xml:space="preserve">Conclusione provvisoria: nessuna ipotesi è falsificata; la prima è la più gravata di assunzioni non documentate. L’attribuzione ad Aginter resta di Livello C.</w:t>
      </w:r>
    </w:p>
    <w:p>
      <w:pPr>
        <w:pStyle w:val="BodyText"/>
      </w:pPr>
      <w:r>
        <w:rPr>
          <w:bCs/>
          <w:b/>
        </w:rPr>
        <w:t xml:space="preserve">Condizione di falsificazione dichiarata:</w:t>
      </w:r>
      <w:r>
        <w:t xml:space="preserve"> </w:t>
      </w:r>
      <w:r>
        <w:t xml:space="preserve">l’emersione, negli archivi PIDE o Aginter, di un ordine operativo, di un rendiconto di missione o di una corrispondenza che colleghi il viaggio di Leroy alla preparazione dell’attentato eleverebbe l’ipotesi a Livello B; l’identificazione documentata dell’introduttore del pacco e del suo mandante la falsificherebbe o la confermerebbe definitivamente.</w:t>
      </w:r>
    </w:p>
    <w:p>
      <w:pPr>
        <w:pStyle w:val="BodyText"/>
      </w:pPr>
      <w:r>
        <w:t xml:space="preserve">Sull’assassinio di Amílcar Cabral la matrice non è costruibile allo stato delle fonti: l’attribuzione ad Aginter ricorre nella pubblicistica senza sostegno archivistico o giudiziario, e il nodo resta iscritto al Livello C con annotazione di insufficienza documentale.</w:t>
      </w:r>
    </w:p>
    <w:p>
      <w:r>
        <w:pict>
          <v:rect style="width:0;height:1.5pt" o:hralign="center" o:hrstd="t" o:hr="t"/>
        </w:pict>
      </w:r>
    </w:p>
    <w:bookmarkEnd w:id="42"/>
    <w:bookmarkStart w:id="43" w:name="sezione-i-isomorfismi-strutturali"/>
    <w:p>
      <w:pPr>
        <w:pStyle w:val="Heading1"/>
      </w:pPr>
      <w:r>
        <w:t xml:space="preserve">SEZIONE I — ISOMORFISMI STRUTTURALI</w:t>
      </w:r>
    </w:p>
    <w:p>
      <w:pPr>
        <w:pStyle w:val="FirstParagraph"/>
      </w:pPr>
      <w:r>
        <w:rPr>
          <w:bCs/>
          <w:b/>
        </w:rPr>
        <w:t xml:space="preserve">Primo isomorfismo.</w:t>
      </w:r>
      <w:r>
        <w:t xml:space="preserve"> </w:t>
      </w:r>
      <w:r>
        <w:t xml:space="preserve">La struttura Aginter Press / Ordre et Tradition / OACI presenta topologia analoga a quella della loggia P2 e della rete stay-behind: nucleo centrale ristretto, irradiazione verso i vertici di molteplici domini, copertura formale legittima, braccio operativo occulto separato dalla facciata. La tripartizione lisboeta — copertura pubblica, intelligence, azione armata — è isomorfa alla tripartizione facciata associativa, rete relazionale, struttura operativa che caratterizza gli altri due dispositivi.</w:t>
      </w:r>
      <w:r>
        <w:t xml:space="preserve"> </w:t>
      </w:r>
      <w:r>
        <w:rPr>
          <w:iCs/>
          <w:i/>
        </w:rPr>
        <w:t xml:space="preserve">Livello B.</w:t>
      </w:r>
    </w:p>
    <w:p>
      <w:pPr>
        <w:pStyle w:val="BodyText"/>
      </w:pPr>
      <w:r>
        <w:rPr>
          <w:bCs/>
          <w:b/>
        </w:rPr>
        <w:t xml:space="preserve">Discriminazione fra le tre spiegazioni possibili.</w:t>
      </w:r>
      <w:r>
        <w:t xml:space="preserve"> </w:t>
      </w:r>
      <w:r>
        <w:t xml:space="preserve">L’origine comune non è dimostrabile; la convergenza indipendente è insufficiente a spiegare la coincidenza temporale e la contiguità di personale;</w:t>
      </w:r>
      <w:r>
        <w:t xml:space="preserve"> </w:t>
      </w:r>
      <w:r>
        <w:rPr>
          <w:bCs/>
          <w:b/>
        </w:rPr>
        <w:t xml:space="preserve">la necessità funzionale appare la spiegazione meno contraddetta dalle evidenze</w:t>
      </w:r>
      <w:r>
        <w:t xml:space="preserve">: la topologia a nucleo ristretto con irradiazione multi-dominio è la configurazione più efficiente per il compito di collegare trasversalmente domini che operano su codici incompatibili mantenendo la deniability. La struttura è dettata dal problema, non necessariamente dal progettista.</w:t>
      </w:r>
    </w:p>
    <w:p>
      <w:pPr>
        <w:pStyle w:val="BodyText"/>
      </w:pPr>
      <w:r>
        <w:rPr>
          <w:bCs/>
          <w:b/>
        </w:rPr>
        <w:t xml:space="preserve">Secondo isomorfismo, per contrasto.</w:t>
      </w:r>
      <w:r>
        <w:t xml:space="preserve"> </w:t>
      </w:r>
      <w:r>
        <w:t xml:space="preserve">La filiera nazi-araba presenta topologia opposta: non nucleo occulto irradiante, ma singoli specialisti inseriti individualmente in apparati statali stranieri come consulenti formali. È un modello di trasferimento di competenza, non di rete. La differenza topologica conferma sul piano strutturale ciò che la Sezione F stabilisce sul piano fattuale: si tratta di due sistemi distinti, e la loro assimilazione nella pubblicistica è un errore di categoria.</w:t>
      </w:r>
    </w:p>
    <w:p>
      <w:r>
        <w:pict>
          <v:rect style="width:0;height:1.5pt" o:hralign="center" o:hrstd="t" o:hr="t"/>
        </w:pict>
      </w:r>
    </w:p>
    <w:bookmarkEnd w:id="43"/>
    <w:bookmarkStart w:id="44" w:name="Xe49674f6a3748c599118305809dfebd155eb4bd"/>
    <w:p>
      <w:pPr>
        <w:pStyle w:val="Heading1"/>
      </w:pPr>
      <w:r>
        <w:t xml:space="preserve">SEZIONE L — ANOMALIE, RILIEVI CRITICI E LACUNE</w:t>
      </w:r>
    </w:p>
    <w:p>
      <w:pPr>
        <w:pStyle w:val="FirstParagraph"/>
      </w:pPr>
      <w:r>
        <w:rPr>
          <w:bCs/>
          <w:b/>
        </w:rPr>
        <w:t xml:space="preserve">Prima anomalia — nomi non riscontrati.</w:t>
      </w:r>
      <w:r>
        <w:t xml:space="preserve"> </w:t>
      </w:r>
      <w:r>
        <w:t xml:space="preserve">Le figure indicate in fase di impostazione come</w:t>
      </w:r>
      <w:r>
        <w:t xml:space="preserve"> </w:t>
      </w:r>
      <w:r>
        <w:t xml:space="preserve">“</w:t>
      </w:r>
      <w:r>
        <w:t xml:space="preserve">Jean-Marie Laurent</w:t>
      </w:r>
      <w:r>
        <w:t xml:space="preserve">”</w:t>
      </w:r>
      <w:r>
        <w:t xml:space="preserve"> </w:t>
      </w:r>
      <w:r>
        <w:t xml:space="preserve">e</w:t>
      </w:r>
      <w:r>
        <w:t xml:space="preserve"> </w:t>
      </w:r>
      <w:r>
        <w:t xml:space="preserve">“</w:t>
      </w:r>
      <w:r>
        <w:t xml:space="preserve">Ralf Hardt / Jürgen Graf</w:t>
      </w:r>
      <w:r>
        <w:t xml:space="preserve">”</w:t>
      </w:r>
      <w:r>
        <w:t xml:space="preserve"> </w:t>
      </w:r>
      <w:r>
        <w:t xml:space="preserve">non trovano riscontro robusto come membri di primo piano nella letteratura accademica consultata. Non sono registrate come nodi. La loro circolazione va trattata come possibile contaminazione della catena di trasmissione delle fonti secondarie, e come tale iscritta fra gli oggetti d’indagine sulla qualità del canale.</w:t>
      </w:r>
    </w:p>
    <w:p>
      <w:pPr>
        <w:pStyle w:val="BodyText"/>
      </w:pPr>
      <w:r>
        <w:rPr>
          <w:bCs/>
          <w:b/>
        </w:rPr>
        <w:t xml:space="preserve">Seconda anomalia — collocazione del Paladin Group.</w:t>
      </w:r>
      <w:r>
        <w:t xml:space="preserve"> </w:t>
      </w:r>
      <w:r>
        <w:t xml:space="preserve">La sede indicata come</w:t>
      </w:r>
      <w:r>
        <w:t xml:space="preserve"> </w:t>
      </w:r>
      <w:r>
        <w:t xml:space="preserve">“</w:t>
      </w:r>
      <w:r>
        <w:t xml:space="preserve">Albufeira (Spagna)</w:t>
      </w:r>
      <w:r>
        <w:t xml:space="preserve">”</w:t>
      </w:r>
      <w:r>
        <w:t xml:space="preserve"> </w:t>
      </w:r>
      <w:r>
        <w:t xml:space="preserve">presenta incongruenza toponomastica, essendo Albufeira località portoghese, mentre l’ambiente Paladin è collocato in letteratura nell’area di Alicante. Il rilievo è registrato come da verificare prima di qualsiasi uso probatorio del nodo.</w:t>
      </w:r>
    </w:p>
    <w:p>
      <w:pPr>
        <w:pStyle w:val="BodyText"/>
      </w:pPr>
      <w:r>
        <w:rPr>
          <w:bCs/>
          <w:b/>
        </w:rPr>
        <w:t xml:space="preserve">Terza anomalia — attribuzione dell’Operação Mar Verde.</w:t>
      </w:r>
      <w:r>
        <w:t xml:space="preserve"> </w:t>
      </w:r>
      <w:r>
        <w:t xml:space="preserve">L’attribuzione dell’operazione ad Aginter Press, frequente nella divulgazione, è contraddetta dalla documentazione militare portoghese che ne accerta la paternità in capo alle Forze Armate. Registrata come caso esemplare di dilatazione della portata dell’agenzia nella letteratura non accademica.</w:t>
      </w:r>
    </w:p>
    <w:p>
      <w:pPr>
        <w:pStyle w:val="BodyText"/>
      </w:pPr>
      <w:r>
        <w:rPr>
          <w:bCs/>
          <w:b/>
        </w:rPr>
        <w:t xml:space="preserve">Prima lacuna.</w:t>
      </w:r>
      <w:r>
        <w:t xml:space="preserve"> </w:t>
      </w:r>
      <w:r>
        <w:t xml:space="preserve">Identità dell’agente</w:t>
      </w:r>
      <w:r>
        <w:t xml:space="preserve"> </w:t>
      </w:r>
      <w:r>
        <w:t xml:space="preserve">“</w:t>
      </w:r>
      <w:r>
        <w:t xml:space="preserve">Lester</w:t>
      </w:r>
      <w:r>
        <w:t xml:space="preserve">”</w:t>
      </w:r>
      <w:r>
        <w:t xml:space="preserve">. Priorità massima: la sua risoluzione ridefinirebbe la catena di comando fra agenzia e vertice dell’Estado Novo.</w:t>
      </w:r>
    </w:p>
    <w:p>
      <w:pPr>
        <w:pStyle w:val="BodyText"/>
      </w:pPr>
      <w:r>
        <w:rPr>
          <w:bCs/>
          <w:b/>
        </w:rPr>
        <w:t xml:space="preserve">Seconda lacuna.</w:t>
      </w:r>
      <w:r>
        <w:t xml:space="preserve"> </w:t>
      </w:r>
      <w:r>
        <w:t xml:space="preserve">Assenza di ricognizione sistematica del fondo PIDE/DGS alla Torre do Tombo con chiave di ricerca araba, che consentirebbe di convertire l’esito negativo attuale — fondato sull’assenza nella letteratura — in esito negativo fondato sull’assenza nell’archivio, di grado probatorio superiore.</w:t>
      </w:r>
    </w:p>
    <w:p>
      <w:pPr>
        <w:pStyle w:val="BodyText"/>
      </w:pPr>
      <w:r>
        <w:rPr>
          <w:bCs/>
          <w:b/>
        </w:rPr>
        <w:t xml:space="preserve">Terza lacuna.</w:t>
      </w:r>
      <w:r>
        <w:t xml:space="preserve"> </w:t>
      </w:r>
      <w:r>
        <w:t xml:space="preserve">Assenza di verifica incrociata con le monografie Aginter già presenti nel corpus di progetto, necessaria prima dell’innesto dell’unità nello Strato Secondo del Registro Unico Federato.</w:t>
      </w:r>
    </w:p>
    <w:p>
      <w:r>
        <w:pict>
          <v:rect style="width:0;height:1.5pt" o:hralign="center" o:hrstd="t" o:hr="t"/>
        </w:pict>
      </w:r>
    </w:p>
    <w:bookmarkEnd w:id="44"/>
    <w:bookmarkStart w:id="45" w:name="X3e0182c7763b332f459ca92598d002933414c7c"/>
    <w:p>
      <w:pPr>
        <w:pStyle w:val="Heading1"/>
      </w:pPr>
      <w:r>
        <w:t xml:space="preserve">SEZIONE M — NODI METODOLOGICI DELLA SESSIONE</w:t>
      </w:r>
    </w:p>
    <w:p>
      <w:pPr>
        <w:pStyle w:val="FirstParagraph"/>
      </w:pPr>
      <w:r>
        <w:t xml:space="preserve">La Nota Metodologica presente in sessione introduce nella memoria operativa i seguenti nodi dottrinali, registrati per completezza dell’estrazione e in quanto costitutivi del canone applicato: Karl Popper per il falsificazionismo e il principio secondo cui una singola osservazione contraria falsifica ciò che nessuna quantità di conferme dimostra; Bertrand Russell per l’esempio del pollo induttivista, assunto come avvertimento permanente contro la struttura concentrica che accumula conferme attorno a una tesi precostituita; Carlo Ginzburg per il paradigma indiziario e la conoscenza per tracce marginali; Giovanni Falcone per il principio della conoscibilità del fenomeno criminale attraverso le tracce lasciate nel mondo visibile; Niklas Luhmann per la chiusura operativa dei sistemi e l’accoppiamento strutturale; Maturana e Varela per l’autopoiesi come quarto criterio di demarcazione dei domini; Pierre Bourdieu per la teoria dei campi; Maurizio Catino per la rete di reti; Wasserman, Faust e Newman per la Social Network Analysis; Kivelä per la rete multilivello; Burt per i buchi strutturali; Freeman per le misure di centralità; Blondel e Girvan-Newman per la community detection; Holme e Saramäki per le reti temporali; Edgar Morin per la causalità circolare, emergente ed ecologica; Glaser e Strauss per la costruzione dal basso; Richards Heuer per l’analisi delle ipotesi concorrenti; Ernesto Savona per lo standard di triangolazione; Whewell e Wilson per la consilienza delle evidenze; Naomi Klein per l’analisi dello sfruttamento delle crisi; DiMaggio e Powell per l’isomorfismo istituzionale; Tobler e Hillier per la sovrapposizione spaziale.</w:t>
      </w:r>
    </w:p>
    <w:p>
      <w:pPr>
        <w:pStyle w:val="BodyText"/>
      </w:pPr>
      <w:r>
        <w:t xml:space="preserve">Il rilievo operativo di questa registrazione è duplice. Sul piano del metodo, la sessione ha applicato il canone in senso stretto, giungendo a un esito negativo che una struttura concentrica avrebbe con ogni probabilità evitato: se il materiale fosse stato organizzato attorno all’ipotesi di un asse fra Aginter e i regimi arabi filo-sovietici, la co-occorrenza di estrema destra europea e mondo arabo avrebbe fornito conferme apparenti in quantità. Sul piano del contenuto, l’avvertimento russelliano si è rivelato operativamente decisivo, poiché il rischio concreto della sessione era esattamente quello di scambiare la comunità nazi-araba per un segmento della comunità lisboeta.</w:t>
      </w:r>
    </w:p>
    <w:p>
      <w:r>
        <w:pict>
          <v:rect style="width:0;height:1.5pt" o:hralign="center" o:hrstd="t" o:hr="t"/>
        </w:pict>
      </w:r>
    </w:p>
    <w:bookmarkEnd w:id="45"/>
    <w:bookmarkStart w:id="46" w:name="X519aba3ca825d5087920b35b2d5ef2540d785f9"/>
    <w:p>
      <w:pPr>
        <w:pStyle w:val="Heading1"/>
      </w:pPr>
      <w:r>
        <w:t xml:space="preserve">SEZIONE N — CONDIZIONI DI FALSIFICAZIONE DELL’UNITÀ</w:t>
      </w:r>
    </w:p>
    <w:p>
      <w:pPr>
        <w:pStyle w:val="FirstParagraph"/>
      </w:pPr>
      <w:r>
        <w:t xml:space="preserve">Conformemente al principio per cui ogni affermazione deve essere accompagnata dall’indicazione di ciò che sarebbe necessario per falsificarla, si dichiarano le seguenti soglie.</w:t>
      </w:r>
    </w:p>
    <w:p>
      <w:pPr>
        <w:pStyle w:val="BodyText"/>
      </w:pPr>
      <w:r>
        <w:t xml:space="preserve">L’esito negativo primario sarebbe falsificato dall’emersione, negli archivi Aginter sequestrati, nel fondo PIDE/DGS o in documentazione occidentale declassificata, di corrispondenza, schede-agente, rendiconti di missione o ordini operativi riferiti al Cairo, Damasco, Baghdad, Tripoli, Algeri, Khartoum, Mogadiscio o Aden.</w:t>
      </w:r>
    </w:p>
    <w:p>
      <w:pPr>
        <w:pStyle w:val="BodyText"/>
      </w:pPr>
      <w:r>
        <w:t xml:space="preserve">L’esito negativo secondario sarebbe falsificato dalla comparsa di un servizio arabo o mediorientale in una fonte indipendente sulla committenza dell’agenzia.</w:t>
      </w:r>
    </w:p>
    <w:p>
      <w:pPr>
        <w:pStyle w:val="BodyText"/>
      </w:pPr>
      <w:r>
        <w:t xml:space="preserve">L’interpretazione strutturale del vuoto sarebbe indebolita dalla dimostrazione che l’agenzia disponeva di personale arabofono o di canali di accesso al mondo arabo non utilizzati.</w:t>
      </w:r>
    </w:p>
    <w:p>
      <w:pPr>
        <w:pStyle w:val="BodyText"/>
      </w:pPr>
      <w:r>
        <w:t xml:space="preserve">La separazione fra la comunità lisboeta e la comunità nazi-araba sarebbe falsificata dalla documentazione di un rapporto operativo, e non di mera contiguità d’ambiente, fra Guérin-Sérac e Skorzeny o fra Aginter e le reti tedesche in Egitto e Siria.</w:t>
      </w:r>
    </w:p>
    <w:p>
      <w:pPr>
        <w:pStyle w:val="BodyText"/>
      </w:pPr>
      <w:r>
        <w:t xml:space="preserve">Fino al superamento di tali soglie, ogni affermazione di operatività di Aginter Press nel mondo arabo va classificata come speculazione e non è ammissibile come fondativa in alcuna sezione dell’opera.</w:t>
      </w:r>
    </w:p>
    <w:p>
      <w:r>
        <w:pict>
          <v:rect style="width:0;height:1.5pt" o:hralign="center" o:hrstd="t" o:hr="t"/>
        </w:pict>
      </w:r>
    </w:p>
    <w:bookmarkEnd w:id="46"/>
    <w:bookmarkStart w:id="47" w:name="indice-dei-nodi-registrati"/>
    <w:p>
      <w:pPr>
        <w:pStyle w:val="Heading1"/>
      </w:pPr>
      <w:r>
        <w:t xml:space="preserve">INDICE DEI NODI REGISTRATI</w:t>
      </w:r>
    </w:p>
    <w:p>
      <w:pPr>
        <w:pStyle w:val="FirstParagraph"/>
      </w:pPr>
      <w:r>
        <w:rPr>
          <w:bCs/>
          <w:b/>
        </w:rPr>
        <w:t xml:space="preserve">Nodi-persona:</w:t>
      </w:r>
      <w:r>
        <w:t xml:space="preserve"> </w:t>
      </w:r>
      <w:r>
        <w:t xml:space="preserve">Guérin-Sérac; Leroy; Delle Chiaie; Brune; Depret; Ploncard d’Assac; Sablonsky;</w:t>
      </w:r>
      <w:r>
        <w:t xml:space="preserve"> </w:t>
      </w:r>
      <w:r>
        <w:t xml:space="preserve">“</w:t>
      </w:r>
      <w:r>
        <w:t xml:space="preserve">Lester</w:t>
      </w:r>
      <w:r>
        <w:t xml:space="preserve">”</w:t>
      </w:r>
      <w:r>
        <w:t xml:space="preserve">; Salazar; Monteiro; Spínola; Calvão; Mondlane; Cabral; Sékou Touré; Taty; Roberto; Skorzeny; von Leers; Brunner; Nasser; Gheddafi; Denard; Foccart; Tschombé; Salvini; Giannettini.</w:t>
      </w:r>
    </w:p>
    <w:p>
      <w:pPr>
        <w:pStyle w:val="BodyText"/>
      </w:pPr>
      <w:r>
        <w:rPr>
          <w:bCs/>
          <w:b/>
        </w:rPr>
        <w:t xml:space="preserve">Nodi-fonte:</w:t>
      </w:r>
      <w:r>
        <w:t xml:space="preserve"> </w:t>
      </w:r>
      <w:r>
        <w:t xml:space="preserve">Bale; Picco; Roberts; Duarte de Jesus; Christie; Ferraresi; Ganser; Laurent.</w:t>
      </w:r>
    </w:p>
    <w:p>
      <w:pPr>
        <w:pStyle w:val="BodyText"/>
      </w:pPr>
      <w:r>
        <w:rPr>
          <w:bCs/>
          <w:b/>
        </w:rPr>
        <w:t xml:space="preserve">Nodi-organizzazione:</w:t>
      </w:r>
      <w:r>
        <w:t xml:space="preserve"> </w:t>
      </w:r>
      <w:r>
        <w:t xml:space="preserve">Aginter Press; Ordre et Tradition; OACI; PIDE/DGS; CIA e Operazione CHAOS; cluster BND, Dirección General de Seguridad, BOSS, KYP, CIO; OAS; SDECE e 11e Choc; Ordine Nuovo; Avanguardia Nazionale; ROS Carabinieri; Commissione Stragi; FRELIMO; PAIGC; MPLA; FNLA/GRAE; FLNG; Kampfbund Deutscher Soldaten; Paladin Group; Mukhabarat siriana e Partito Baath; Lega Araba; Institute for the Study of Zionism; FROLINAT; Presença Ocidental; L’Europeo.</w:t>
      </w:r>
    </w:p>
    <w:p>
      <w:pPr>
        <w:pStyle w:val="BodyText"/>
      </w:pPr>
      <w:r>
        <w:rPr>
          <w:bCs/>
          <w:b/>
        </w:rPr>
        <w:t xml:space="preserve">Nodi-evento:</w:t>
      </w:r>
      <w:r>
        <w:t xml:space="preserve"> </w:t>
      </w:r>
      <w:r>
        <w:t xml:space="preserve">fondazione Aginter; piano Taty; golpe mancato a Brazzaville; Operação Zona Leste; omicidio Mondlane; Piazza Fontana; Operação Mar Verde; omicidio Cabral; Rivoluzione dei Garofani; sequestro degli archivi; guerra civile nordyemenita; guerra del Biafra.</w:t>
      </w:r>
    </w:p>
    <w:p>
      <w:pPr>
        <w:pStyle w:val="BodyText"/>
      </w:pPr>
      <w:r>
        <w:rPr>
          <w:bCs/>
          <w:b/>
        </w:rPr>
        <w:t xml:space="preserve">Nodi-geografici:</w:t>
      </w:r>
      <w:r>
        <w:t xml:space="preserve"> </w:t>
      </w:r>
      <w:r>
        <w:t xml:space="preserve">Lisbona e rua das Praças; Dar es Salaam; Conakry; rete Salisbury-Luanda-Bissau-Madrid-Amburgo-Vienna-Malmö-Johannesburg; Il Cairo, Damasco, Wadi Barada; Torre do Tombo.</w:t>
      </w:r>
    </w:p>
    <w:p>
      <w:pPr>
        <w:pStyle w:val="BodyText"/>
      </w:pPr>
      <w:r>
        <w:t xml:space="preserve">Totale nodi registrati: centoquattro, di cui ventisette nodi-persona, otto nodi-fonte, ventisette nodi-organizzazione, dodici nodi-evento, sei nodi-geografici, ventiquattro nodi metodologici.</w:t>
      </w:r>
    </w:p>
    <w:p>
      <w:r>
        <w:pict>
          <v:rect style="width:0;height:1.5pt" o:hralign="center" o:hrstd="t" o:hr="t"/>
        </w:pict>
      </w:r>
    </w:p>
    <w:p>
      <w:pPr>
        <w:pStyle w:val="FirstParagraph"/>
      </w:pPr>
      <w:r>
        <w:rPr>
          <w:iCs/>
          <w:i/>
        </w:rPr>
        <w:t xml:space="preserve">Unità di sessione chiusa il 4 agosto 2026. Destinata all’innesto nello Strato Secondo — dei nodi — del Registro Unico Federato, previa concordanza incrociata con le schede-nodo preesistenti relative al medesimo teatro. Nessun grado probatorio qui attribuito è definitivo prima di tale concordanza.</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2026-08-04T00:35:09Z</dcterms:created>
  <dcterms:modified xsi:type="dcterms:W3CDTF">2026-08-04T00:35:09Z</dcterms:modified>
</cp:coreProperties>
</file>

<file path=docProps/custom.xml><?xml version="1.0" encoding="utf-8"?>
<Properties xmlns="http://schemas.openxmlformats.org/officeDocument/2006/custom-properties" xmlns:vt="http://schemas.openxmlformats.org/officeDocument/2006/docPropsVTypes"/>
</file>