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talia-nera-registro-analitico-dei-nodi"/>
    <w:p>
      <w:pPr>
        <w:pStyle w:val="Heading1"/>
      </w:pPr>
      <w:r>
        <w:t xml:space="preserve">ITALIA NERA — REGISTRO ANALITICO DEI NODI</w:t>
      </w:r>
    </w:p>
    <w:bookmarkStart w:id="20" w:name="Xa4583bcd12407ec59fdcf547bdfabec9ce6d919"/>
    <w:p>
      <w:pPr>
        <w:pStyle w:val="Heading2"/>
      </w:pPr>
      <w:r>
        <w:t xml:space="preserve">Corpus di sessione: Nota Metodologica, Direttiva Gerarchica e Triangolazione PayPal Mafia × Reti Storiche</w:t>
      </w:r>
    </w:p>
    <w:p>
      <w:pPr>
        <w:pStyle w:val="FirstParagraph"/>
      </w:pPr>
      <w:r>
        <w:rPr>
          <w:bCs/>
          <w:b/>
        </w:rPr>
        <w:t xml:space="preserve">Autore-direttore:</w:t>
      </w:r>
      <w:r>
        <w:t xml:space="preserve"> </w:t>
      </w:r>
      <w:r>
        <w:t xml:space="preserve">Luigi De Michele</w:t>
      </w:r>
    </w:p>
    <w:p>
      <w:pPr>
        <w:pStyle w:val="BodyText"/>
      </w:pPr>
      <w:r>
        <w:rPr>
          <w:bCs/>
          <w:b/>
        </w:rPr>
        <w:t xml:space="preserve">Data di compilazione:</w:t>
      </w:r>
      <w:r>
        <w:t xml:space="preserve"> </w:t>
      </w:r>
      <w:r>
        <w:t xml:space="preserve">4 agosto 2026</w:t>
      </w:r>
    </w:p>
    <w:p>
      <w:pPr>
        <w:pStyle w:val="BodyText"/>
      </w:pPr>
      <w:r>
        <w:rPr>
          <w:bCs/>
          <w:b/>
        </w:rPr>
        <w:t xml:space="preserve">Denominazione operativa:</w:t>
      </w:r>
      <w:r>
        <w:t xml:space="preserve"> </w:t>
      </w:r>
      <w:r>
        <w:t xml:space="preserve">Registro Analitico dei Nodi del Corpus di Sessione PAYPAL-APARTHEID</w:t>
      </w:r>
    </w:p>
    <w:p>
      <w:pPr>
        <w:pStyle w:val="BodyText"/>
      </w:pPr>
      <w:r>
        <w:rPr>
          <w:bCs/>
          <w:b/>
        </w:rPr>
        <w:t xml:space="preserve">Corpus base:</w:t>
      </w:r>
      <w:r>
        <w:t xml:space="preserve"> </w:t>
      </w:r>
      <w:r>
        <w:t xml:space="preserve">tre unità documentali generate o depositate nel corso della sessione, per un volume aggregato stimato in circa novemila parole di materiale primario di sessione, integrate dal rinvio al corpus permanente della cartella di progetto ITALIA NERA.</w:t>
      </w:r>
    </w:p>
    <w:p>
      <w:r>
        <w:pict>
          <v:rect style="width:0;height:1.5pt" o:hralign="center" o:hrstd="t" o:hr="t"/>
        </w:pict>
      </w:r>
    </w:p>
    <w:bookmarkEnd w:id="20"/>
    <w:bookmarkEnd w:id="21"/>
    <w:bookmarkStart w:id="26" w:name="Xffd7a53659f07bb243238aef0bf5f985f78b2c1"/>
    <w:p>
      <w:pPr>
        <w:pStyle w:val="Heading1"/>
      </w:pPr>
      <w:r>
        <w:t xml:space="preserve">PARTE I — PREMESSA METODOLOGICA E PERIMETRO ANALITICO</w:t>
      </w:r>
    </w:p>
    <w:bookmarkStart w:id="22" w:name="statuto-del-presente-registro"/>
    <w:p>
      <w:pPr>
        <w:pStyle w:val="Heading2"/>
      </w:pPr>
      <w:r>
        <w:t xml:space="preserve">§ 1.1 — Statuto del presente Registro</w:t>
      </w:r>
    </w:p>
    <w:p>
      <w:pPr>
        <w:pStyle w:val="FirstParagraph"/>
      </w:pPr>
      <w:r>
        <w:t xml:space="preserve">Il presente documento costituisce compilazione del Registro Analitico dei Nodi limitatamente al corpus generato nella sessione di lavoro del 4 agosto 2026. Esso non sostituisce né riassume le compilazioni precedenti del Registro — segnatamente le versioni cumulative da V0 a V66 e i Registri Analitici di corpus prodotti fra aprile e maggio 2026 — bensì costituisce strato di documentazione preliminare autonomo, destinato a confluire nella prossima versione cumulativa del Registro complessivo secondo il principio di preservazione cumulativa enunciato dalla Nota Metodologica V2, per cui ciascuna versione deve contenere verbatim tutte le versioni precedenti senza sintesi né abbreviazione.</w:t>
      </w:r>
    </w:p>
    <w:p>
      <w:pPr>
        <w:pStyle w:val="BodyText"/>
      </w:pPr>
      <w:r>
        <w:t xml:space="preserve">La ragione della compilazione autonoma è duplice. In primo luogo, il corpus di sessione presenta una caratteristica anomala rispetto alla generalità dei corpora finora trattati: il suo esito analitico principale non è l’identificazione di nuovi archi documentati, bensì la</w:t>
      </w:r>
      <w:r>
        <w:t xml:space="preserve"> </w:t>
      </w:r>
      <w:r>
        <w:rPr>
          <w:bCs/>
          <w:b/>
        </w:rPr>
        <w:t xml:space="preserve">falsificazione di un’ipotesi di connessione</w:t>
      </w:r>
      <w:r>
        <w:t xml:space="preserve">. Tale esito, lungi dal costituire un fallimento della procedura, ne rappresenta l’applicazione più rigorosa, poiché il principio popperiano assunto dalla Nota Metodologica prescrive che soltanto le ipotesi sopravvissute al tentativo di confutazione meritino provvisoriamente il titolo di conoscenza. Un Registro che registrasse esclusivamente le connessioni confermate, omettendo le connessioni cercate e non trovate, sarebbe strutturalmente il Registro del tacchino di Russell.</w:t>
      </w:r>
    </w:p>
    <w:p>
      <w:pPr>
        <w:pStyle w:val="BodyText"/>
      </w:pPr>
      <w:r>
        <w:t xml:space="preserve">In secondo luogo, il corpus di sessione contiene per la prima volta in forma integrale l’apparato metodologico dell’opera, ossia la Nota Metodologica nella redazione presentata dall’autore-direttore. Ciò impone di registrare come nodi non soltanto le entità dell’oggetto — persone, organizzazioni, luoghi, eventi — ma anche le entità dello strumento, ossia gli autori, i concetti e le procedure che costituiscono il canone analitico del progetto. Questa categoria, che si denomina qui</w:t>
      </w:r>
      <w:r>
        <w:t xml:space="preserve"> </w:t>
      </w:r>
      <w:r>
        <w:rPr>
          <w:bCs/>
          <w:b/>
        </w:rPr>
        <w:t xml:space="preserve">nodi-canone</w:t>
      </w:r>
      <w:r>
        <w:t xml:space="preserve">, non era stata sistematicamente catalogata nelle compilazioni precedenti e viene introdotta con la presente unità.</w:t>
      </w:r>
    </w:p>
    <w:bookmarkEnd w:id="22"/>
    <w:bookmarkStart w:id="23" w:name="perimetro-e-regola-di-non-estensione"/>
    <w:p>
      <w:pPr>
        <w:pStyle w:val="Heading2"/>
      </w:pPr>
      <w:r>
        <w:t xml:space="preserve">§ 1.2 — Perimetro e regola di non estensione</w:t>
      </w:r>
    </w:p>
    <w:p>
      <w:pPr>
        <w:pStyle w:val="FirstParagraph"/>
      </w:pPr>
      <w:r>
        <w:t xml:space="preserve">Il perimetro analitico del presente Registro coincide con il perimetro del corpus di sessione e non si estende ai materiali residenti nella cartella di progetto generale, salvo quando il riferimento incrociato sia documentariamente necessario per la corretta interpretazione di un nodo o per la sua collocazione entro l’architettura dei dieci Domini di Potere. Ne consegue che le metriche di centralità qui indicate sono da intendersi come metriche</w:t>
      </w:r>
      <w:r>
        <w:t xml:space="preserve"> </w:t>
      </w:r>
      <w:r>
        <w:rPr>
          <w:bCs/>
          <w:b/>
        </w:rPr>
        <w:t xml:space="preserve">relative</w:t>
      </w:r>
      <w:r>
        <w:t xml:space="preserve"> </w:t>
      </w:r>
      <w:r>
        <w:t xml:space="preserve">al corpus di sessione, non come metriche assolute della rete complessiva di ITALIA NERA. La loro promozione a metriche assolute richiederà l’integrazione con la totalità dei materiali del Registro cumulativo e con i corpora ancillari delle Commissioni BLAZE, BLAZEII, INTERO_COM, con il Censimento Composita e con il Registro Nodi della Diaspora Nazista.</w:t>
      </w:r>
    </w:p>
    <w:bookmarkEnd w:id="23"/>
    <w:bookmarkStart w:id="24" w:name="standard-probatorio-applicato"/>
    <w:p>
      <w:pPr>
        <w:pStyle w:val="Heading2"/>
      </w:pPr>
      <w:r>
        <w:t xml:space="preserve">§ 1.3 — Standard probatorio applicato</w:t>
      </w:r>
    </w:p>
    <w:p>
      <w:pPr>
        <w:pStyle w:val="FirstParagraph"/>
      </w:pPr>
      <w:r>
        <w:t xml:space="preserve">Ciascun nodo e ciascun arco registrato è classificato secondo lo standard probatorio Savona a tre livelli formalizzato nella Parte V della Nota Metodologica.</w:t>
      </w:r>
    </w:p>
    <w:p>
      <w:pPr>
        <w:pStyle w:val="BodyText"/>
      </w:pPr>
      <w:r>
        <w:t xml:space="preserve">Il</w:t>
      </w:r>
      <w:r>
        <w:t xml:space="preserve"> </w:t>
      </w:r>
      <w:r>
        <w:rPr>
          <w:bCs/>
          <w:b/>
        </w:rPr>
        <w:t xml:space="preserve">Livello A</w:t>
      </w:r>
      <w:r>
        <w:t xml:space="preserve">, connessione documentata, richiede la convergenza di almeno tre fonti indipendenti di natura diversa, ovvero — nel caso di fatti biografici e istituzionali non controversi — la convergenza di fonti primarie e di fonti secondarie di rango accademico o giornalistico consolidato.</w:t>
      </w:r>
    </w:p>
    <w:p>
      <w:pPr>
        <w:pStyle w:val="BodyText"/>
      </w:pPr>
      <w:r>
        <w:t xml:space="preserve">Il</w:t>
      </w:r>
      <w:r>
        <w:t xml:space="preserve"> </w:t>
      </w:r>
      <w:r>
        <w:rPr>
          <w:bCs/>
          <w:b/>
        </w:rPr>
        <w:t xml:space="preserve">Livello B</w:t>
      </w:r>
      <w:r>
        <w:t xml:space="preserve">, connessione indiziaria, richiede la convergenza di due fonti indipendenti, oppure una singola fonte di alta affidabilità. La connessione è considerata probabile ma non certa ed è segnalata come tale.</w:t>
      </w:r>
    </w:p>
    <w:p>
      <w:pPr>
        <w:pStyle w:val="BodyText"/>
      </w:pPr>
      <w:r>
        <w:t xml:space="preserve">Il</w:t>
      </w:r>
      <w:r>
        <w:t xml:space="preserve"> </w:t>
      </w:r>
      <w:r>
        <w:rPr>
          <w:bCs/>
          <w:b/>
        </w:rPr>
        <w:t xml:space="preserve">Livello C</w:t>
      </w:r>
      <w:r>
        <w:t xml:space="preserve">, connessione ipotetica, si basa su una singola fonte, ovvero su una convergenza di indizi circostanziali quali coincidenza temporale, prossimità geografica, omonimia o appartenenza al medesimo dominio. È esplicitamente marcata come ipotesi investigativa.</w:t>
      </w:r>
    </w:p>
    <w:p>
      <w:pPr>
        <w:pStyle w:val="BodyText"/>
      </w:pPr>
      <w:r>
        <w:t xml:space="preserve">Alla triade Savona si aggiunge, per il presente corpus, un quarto stato che si denomina</w:t>
      </w:r>
      <w:r>
        <w:t xml:space="preserve"> </w:t>
      </w:r>
      <w:r>
        <w:rPr>
          <w:bCs/>
          <w:b/>
        </w:rPr>
        <w:t xml:space="preserve">Stato Zero, connessione cercata e non trovata</w:t>
      </w:r>
      <w:r>
        <w:t xml:space="preserve">: esso registra le ipotesi di collegamento sistematicamente verificate e risultate prive di qualsiasi riscontro. Lo Stato Zero non è assenza di dato: è dato negativo acquisito, e come tale entra nel Registro con pari dignità probatoria, in conformità al Pattern 5 (Structural Holes Analysis), secondo cui l’assenza di una connessione attesa è informazione altrettanto significativa della connessione presente.</w:t>
      </w:r>
    </w:p>
    <w:bookmarkEnd w:id="24"/>
    <w:bookmarkStart w:id="25" w:name="X7d51e6b3389d3706a3f00913cc5da65c26bb393"/>
    <w:p>
      <w:pPr>
        <w:pStyle w:val="Heading2"/>
      </w:pPr>
      <w:r>
        <w:t xml:space="preserve">§ 1.4 — Avvertenza falsificazionista sulla Direttiva Gerarchica</w:t>
      </w:r>
    </w:p>
    <w:p>
      <w:pPr>
        <w:pStyle w:val="FirstParagraph"/>
      </w:pPr>
      <w:r>
        <w:t xml:space="preserve">La Direttiva Gerarchica in dieci punti trasmessa dall’autore-direttore (Unità Documentale 2) enuncia una tesi interpretativa forte: la convergenza segreta fra Stati Uniti e Unione Sovietica, poi Russia, finalizzata a impedire l’integrazione europea e la nascita degli Stati Uniti d’Europa. La Nota Metodologica dello stesso autore-direttore, alla sezione dedicata al problema dell’induzione, identifica esplicitamente tale configurazione come il caso paradigmatico del rischio del</w:t>
      </w:r>
      <w:r>
        <w:t xml:space="preserve"> </w:t>
      </w:r>
      <w:r>
        <w:t xml:space="preserve">“</w:t>
      </w:r>
      <w:r>
        <w:t xml:space="preserve">Pollo di Popper</w:t>
      </w:r>
      <w:r>
        <w:t xml:space="preserve">”</w:t>
      </w:r>
      <w:r>
        <w:t xml:space="preserve">, scrivendo che se si partisse dalla tesi che Stati Uniti e Unione Sovietica convergono segretamente per impedire l’integrazione europea e si organizzasse il materiale in una struttura che irradia concentricamente da quel centro interpretativo, ogni dato tenderebbe a confermare la tesi per effetto della struttura stessa, non per forza intrinseca dell’evidenza.</w:t>
      </w:r>
    </w:p>
    <w:p>
      <w:pPr>
        <w:pStyle w:val="BodyText"/>
      </w:pPr>
      <w:r>
        <w:t xml:space="preserve">Il presente Registro registra pertanto la Direttiva Gerarchica</w:t>
      </w:r>
      <w:r>
        <w:t xml:space="preserve"> </w:t>
      </w:r>
      <w:r>
        <w:rPr>
          <w:bCs/>
          <w:b/>
        </w:rPr>
        <w:t xml:space="preserve">come ipotesi-guida di livello C, non come premessa acquisita</w:t>
      </w:r>
      <w:r>
        <w:t xml:space="preserve">, e ne fa oggetto di trattamento secondo il Pattern 6 (Analysis of Competing Hypotheses). Questa collocazione non è un dissenso dall’autore-direttore: è l’applicazione letterale della sua stessa Nota Metodologica, che prescrive che la struttura dell’opera non sia organizzata attorno a un’ipotesi ma attorno ai dati. La coesistenza, nella medesima sessione, di una direttiva a tesi e di una metodologia antitetica alla costruzione a tesi è essa stessa un dato registrabile, e viene registrata come</w:t>
      </w:r>
      <w:r>
        <w:t xml:space="preserve"> </w:t>
      </w:r>
      <w:r>
        <w:rPr>
          <w:bCs/>
          <w:b/>
        </w:rPr>
        <w:t xml:space="preserve">tensione strutturale interna al corpus</w:t>
      </w:r>
      <w:r>
        <w:t xml:space="preserve"> </w:t>
      </w:r>
      <w:r>
        <w:t xml:space="preserve">(si veda la Parte IX).</w:t>
      </w:r>
    </w:p>
    <w:p>
      <w:r>
        <w:pict>
          <v:rect style="width:0;height:1.5pt" o:hralign="center" o:hrstd="t" o:hr="t"/>
        </w:pict>
      </w:r>
    </w:p>
    <w:bookmarkEnd w:id="25"/>
    <w:bookmarkEnd w:id="26"/>
    <w:bookmarkStart w:id="31" w:name="X3c487085f7e94142d630fd8e659a9bb6868d4c4"/>
    <w:p>
      <w:pPr>
        <w:pStyle w:val="Heading1"/>
      </w:pPr>
      <w:r>
        <w:t xml:space="preserve">PARTE II — INVENTARIO ANALITICO DELLE UNITÀ DOCUMENTALI DI SESSIONE</w:t>
      </w:r>
    </w:p>
    <w:bookmarkStart w:id="27" w:name="Xf8d150514d7153d8095a443028c9009d1c5a922"/>
    <w:p>
      <w:pPr>
        <w:pStyle w:val="Heading2"/>
      </w:pPr>
      <w:r>
        <w:t xml:space="preserve">§ 2.1 — Unità Documentale 1: la Nota Metodologica ITALIA NERA</w:t>
      </w:r>
    </w:p>
    <w:p>
      <w:pPr>
        <w:pStyle w:val="FirstParagraph"/>
      </w:pPr>
      <w:r>
        <w:t xml:space="preserve">Trattasi della redazione integrale dell’apparato metodologico dell’opera, a firma Luigi De Michele, priva di indicazione versionale esplicita nel testo trasmesso ma riconducibile per contenuto alla linea evolutiva che dalla Nota Metodologica V1 conduce alla V2 del 27 aprile 2026 e alle successive integrazioni V63 e V65. L’articolazione interna comprende una premessa epistemologica, cinque Parti e una bibliografia metodologica di trentotto voci.</w:t>
      </w:r>
    </w:p>
    <w:p>
      <w:pPr>
        <w:pStyle w:val="BodyText"/>
      </w:pPr>
      <w:r>
        <w:t xml:space="preserve">La premessa epistemologica pone il problema della conoscenza in un campo nel quale l’oggetto di studio manipola attivamente le condizioni della propria osservabilità, e ne trae la conseguenza che la trasparenza del metodo non è ornamento bensì condizione di possibilità della conoscenza. Essa articola quattro fondamenti: il principio di conoscibilità del fenomeno criminale desunto da Falcone; la critica popperiana dell’induzione con l’esempio russelliano del pollo; il paradigma indiziario di Ginzburg; e la teoria dei sistemi di Luhmann con la nozione di accoppiamento strutturale.</w:t>
      </w:r>
    </w:p>
    <w:p>
      <w:pPr>
        <w:pStyle w:val="BodyText"/>
      </w:pPr>
      <w:r>
        <w:t xml:space="preserve">La Parte I espone i fondamenti della Social Network Analysis applicata alla criminalità organizzata, articolandoli su tre livelli — nodi, archi, proprietà strutturali della rete — e formalizzando quattro misure di centralità (grado, intermediazione, prossimità, autovettore), gli algoritmi di community detection e il concetto di rete multilivello.</w:t>
      </w:r>
    </w:p>
    <w:p>
      <w:pPr>
        <w:pStyle w:val="BodyText"/>
      </w:pPr>
      <w:r>
        <w:t xml:space="preserve">La Parte II espone la tassonomia dei dieci Domini di Potere e i quattro criteri di demarcazione: risorse autonome, gerarchia interna propria, regole operative proprie, capacità di autoriproduzione.</w:t>
      </w:r>
    </w:p>
    <w:p>
      <w:pPr>
        <w:pStyle w:val="BodyText"/>
      </w:pPr>
      <w:r>
        <w:t xml:space="preserve">La Parte III espone la struttura relazionale, con il computo delle quarantacinque coppie inter-dominio possibili, la stima preliminare di venticinque-trenta coppie empiricamente significative, e la tipologia quinaria degli archi inter-dominio.</w:t>
      </w:r>
    </w:p>
    <w:p>
      <w:pPr>
        <w:pStyle w:val="BodyText"/>
      </w:pPr>
      <w:r>
        <w:t xml:space="preserve">La Parte IV espone gli undici Pattern analitici, ciascuno con procedura operativa, criterio di validazione e riferimento bibliografico.</w:t>
      </w:r>
    </w:p>
    <w:p>
      <w:pPr>
        <w:pStyle w:val="BodyText"/>
      </w:pPr>
      <w:r>
        <w:t xml:space="preserve">La Parte V espone il triangolo della verificabilità e lo standard probatorio a tre livelli.</w:t>
      </w:r>
    </w:p>
    <w:bookmarkEnd w:id="27"/>
    <w:bookmarkStart w:id="28" w:name="X6d377eeaab0f4d28f2858d1286853caea5c4bf5"/>
    <w:p>
      <w:pPr>
        <w:pStyle w:val="Heading2"/>
      </w:pPr>
      <w:r>
        <w:t xml:space="preserve">§ 2.2 — Unità Documentale 2: la Direttiva Gerarchica e Operativa</w:t>
      </w:r>
    </w:p>
    <w:p>
      <w:pPr>
        <w:pStyle w:val="FirstParagraph"/>
      </w:pPr>
      <w:r>
        <w:t xml:space="preserve">Trattasi della direttiva dell’autore-direttore articolata in due blocchi. Il primo blocco, di otto punti, definisce la procedura operativa: estrazione dei contenuti, ritenzione in memoria operativa, memorizzazione di centinaia di parole-chiave ricorrenti, incrocio delle parole-chiave per la ricerca di connessioni con approccio investigativo, criminologico, strategico, militare e geopolitico, adozione di un approccio a cerchi concentrici e a macchia d’olio con l’Italia come campo di battaglia iniziale, combinazione e incrocio integrale fra i mondi individuati, ricerca delle connessioni non evidenti su base temporale e spaziale, generazione di una struttura da opera letteraria.</w:t>
      </w:r>
    </w:p>
    <w:p>
      <w:pPr>
        <w:pStyle w:val="BodyText"/>
      </w:pPr>
      <w:r>
        <w:t xml:space="preserve">Il secondo blocco, di dieci punti, definisce la gerarchia interpretativa: centralità di Italia ed Europa; Stati Uniti e Unione Sovietica come potenze imperialiste ostili all’integrazione europea; origine del fenomeno dalla fine della Seconda Guerra Mondiale e dalla Guerra Fredda; collaborazione fra nemici formali per indebolire gli Stati europei; strumenti della partita individuati in colpi di Stato, omicidi di Stato, scandali, stragi di Stato e omicidi eccellenti; contatto fra intelligence estere e italiane ed europee con genesi dei servizi deviati; collaborazione fra intelligence, mafie internazionali, Vaticano, estrema destra, estrema sinistra, alti gradi delle Forze Armate, famiglie reali e aristocrazia, massonerie; finalità di scongiurare la nascita di un impero europeo destinato a divenire prima potenza economica e militare mondiale; ricorso agli strumenti eversivi elencati; favoreggiamento dell’ascesa di forze populiste o di estrema destra destinate a fallire politicamente e a danneggiare l’economia europea a vantaggio di quelle statunitense e russa.</w:t>
      </w:r>
    </w:p>
    <w:p>
      <w:pPr>
        <w:pStyle w:val="BodyText"/>
      </w:pPr>
      <w:r>
        <w:t xml:space="preserve">La direttiva si chiude con l’istruzione operativa specifica oggetto della sessione: incrociare ed effettuare triangolazione fra tutti i membri della lista integrale della PayPal Mafia e le persone e gli eventi presenti negli allegati di progetto, al fine di comprendere se sussistano o meno legami, connessioni o nodi.</w:t>
      </w:r>
    </w:p>
    <w:p>
      <w:pPr>
        <w:pStyle w:val="BodyText"/>
      </w:pPr>
      <w:r>
        <w:t xml:space="preserve">Vige inoltre, come specifica redazionale permanente, il divieto di generazione di tabelle, qui integralmente osservato.</w:t>
      </w:r>
    </w:p>
    <w:bookmarkEnd w:id="28"/>
    <w:bookmarkStart w:id="29" w:name="Xa91200c4c939c9dae1d1beca5e696e33936dc07"/>
    <w:p>
      <w:pPr>
        <w:pStyle w:val="Heading2"/>
      </w:pPr>
      <w:r>
        <w:t xml:space="preserve">§ 2.3 — Unità Documentale 3: il Rapporto di Triangolazione PayPal Mafia × Reti Storiche</w:t>
      </w:r>
    </w:p>
    <w:p>
      <w:pPr>
        <w:pStyle w:val="FirstParagraph"/>
      </w:pPr>
      <w:r>
        <w:t xml:space="preserve">Trattasi dell’elaborato generato nel corso della sessione mediante ricerca estesa multi-fonte e depositato nella cartella di progetto con la denominazione PayPal_Mafia_and_Historical_Networks__Real_South_African_Cluster. L’estensione è di circa duemila settecento parole. L’architettura comprende una sintesi esecutiva, una mappa membro-per-membro con classificazione ternaria, un approfondimento sui nodi reali identificati, un elenco esplicito dei non-nodi, una sezione dedicata alla lista NARA dei Foreign Scientist Case Files, raccomandazioni operative, avvertenze sulla qualità delle fonti e conclusione sul significato complessivo.</w:t>
      </w:r>
    </w:p>
    <w:p>
      <w:pPr>
        <w:pStyle w:val="BodyText"/>
      </w:pPr>
      <w:r>
        <w:t xml:space="preserve">L’esito sintetico dell’unità è duplice e va registrato con precisione: esiste un cluster sudafricano-namibiano-tedesco reale e documentato all’interno della PayPal Mafia, di natura biografica e familiare; non esiste alcun ponte documentato fra tale cluster e le reti operative eversive presenti nel corpus di progetto, segnatamente Aginter Press, la rete Guérin-Sérac, Stefano Delle Chiaie e gli scienziati della lista NARA.</w:t>
      </w:r>
    </w:p>
    <w:bookmarkEnd w:id="29"/>
    <w:bookmarkStart w:id="30" w:name="X1f28ec7594111310861532d853f87972a99ae67"/>
    <w:p>
      <w:pPr>
        <w:pStyle w:val="Heading2"/>
      </w:pPr>
      <w:r>
        <w:t xml:space="preserve">§ 2.4 — Corpus di progetto attivato per riferimento incrociato</w:t>
      </w:r>
    </w:p>
    <w:p>
      <w:pPr>
        <w:pStyle w:val="FirstParagraph"/>
      </w:pPr>
      <w:r>
        <w:t xml:space="preserve">Il corpus permanente della cartella ITALIA NERA è stato interrogato in modalità selettiva per l’identificazione dell’universo di entità da sottoporre a incrocio. Le famiglie documentali attivate sono le seguenti: la famiglia Aginter Press, comprendente l’anatomia dell’hub controrivoluzionario di Lisbona 1966-1974, la mappa stratificata della rete Guérin-Sérac, il profilo monografico del rapporto Delle Chiaie–Aginter, lo stress-test documentale della non-connessione Aginter–Kissinger e l’asse cattolico-integralista; la famiglia apartheid, comprendente il triangolo Sudafrica-Namibia con Le Cercle e Ordre et Tradition, la rete coperta dell’apartheid in Europa occidentale con sanctions-busting e omicidi politici, gli assi comparati con Israele e Regno Unito, con Germania, Argentina, Paraguay, Cile, Brasile e Italia, e il controcampo comunista con URSS, Patto di Varsavia e Cina; la famiglia diaspora nazista, comprendente le ricerche su nazisti in URSS, in Sud America, negli USA, in Sudafrica, in Spagna e Portogallo; il file dei Foreign Scientist Case Files 1945-1958; e la ricostruzione storiografica Italia Nera da Aginter Press e Jeune Europe all’eurasiatismo filorusso.</w:t>
      </w:r>
    </w:p>
    <w:p>
      <w:r>
        <w:pict>
          <v:rect style="width:0;height:1.5pt" o:hralign="center" o:hrstd="t" o:hr="t"/>
        </w:pict>
      </w:r>
    </w:p>
    <w:bookmarkEnd w:id="30"/>
    <w:bookmarkEnd w:id="31"/>
    <w:bookmarkStart w:id="39" w:name="parte-iii-catalogo-dei-nodi-persona"/>
    <w:p>
      <w:pPr>
        <w:pStyle w:val="Heading1"/>
      </w:pPr>
      <w:r>
        <w:t xml:space="preserve">PARTE III — CATALOGO DEI NODI-PERSONA</w:t>
      </w:r>
    </w:p>
    <w:bookmarkStart w:id="32" w:name="X6c5fc526a4003c634b29443cea9b655294199d0"/>
    <w:p>
      <w:pPr>
        <w:pStyle w:val="Heading2"/>
      </w:pPr>
      <w:r>
        <w:t xml:space="preserve">§ 3.1 — Nodi-canone: l’apparato autoriale della metodologia</w:t>
      </w:r>
    </w:p>
    <w:p>
      <w:pPr>
        <w:pStyle w:val="FirstParagraph"/>
      </w:pPr>
      <w:r>
        <w:t xml:space="preserve">Si registrano in questa sotto-categoria gli autori il cui apparato concettuale costituisce il canone operativo dell’opera. La loro registrazione ha finalità di tracciabilità dello strumento analitico e non implica alcuna relazione con l’oggetto di indagine. La caratterizzazione è integralmente di Livello A, in quanto la qualità autoriale è documentata dai testi pubblicati.</w:t>
      </w:r>
    </w:p>
    <w:p>
      <w:pPr>
        <w:pStyle w:val="BodyText"/>
      </w:pPr>
      <w:r>
        <w:rPr>
          <w:bCs/>
          <w:b/>
        </w:rPr>
        <w:t xml:space="preserve">Giovanni Falcone</w:t>
      </w:r>
      <w:r>
        <w:t xml:space="preserve"> </w:t>
      </w:r>
      <w:r>
        <w:t xml:space="preserve">(1939-1992), magistrato, con</w:t>
      </w:r>
      <w:r>
        <w:t xml:space="preserve"> </w:t>
      </w:r>
      <w:r>
        <w:rPr>
          <w:bCs/>
          <w:b/>
        </w:rPr>
        <w:t xml:space="preserve">Marcelle Padovani</w:t>
      </w:r>
      <w:r>
        <w:t xml:space="preserve"> </w:t>
      </w:r>
      <w:r>
        <w:t xml:space="preserve">per</w:t>
      </w:r>
      <w:r>
        <w:t xml:space="preserve"> </w:t>
      </w:r>
      <w:r>
        <w:rPr>
          <w:iCs/>
          <w:i/>
        </w:rPr>
        <w:t xml:space="preserve">Cose di Cosa Nostra</w:t>
      </w:r>
      <w:r>
        <w:t xml:space="preserve"> </w:t>
      </w:r>
      <w:r>
        <w:t xml:space="preserve">(1991). Funzione nel canone: fondatore del principio di conoscibilità del fenomeno criminale e del metodo di analisi dei flussi finanziari e di comparazione delle testimonianze. Nodo doppio: è simultaneamente nodo-canone e nodo-oggetto del corpus permanente, dove ricorre come broker D10×D1×D3×D9 secondo la registrazione V1.</w:t>
      </w:r>
    </w:p>
    <w:p>
      <w:pPr>
        <w:pStyle w:val="BodyText"/>
      </w:pPr>
      <w:r>
        <w:rPr>
          <w:bCs/>
          <w:b/>
        </w:rPr>
        <w:t xml:space="preserve">Karl Popper</w:t>
      </w:r>
      <w:r>
        <w:t xml:space="preserve"> </w:t>
      </w:r>
      <w:r>
        <w:t xml:space="preserve">(1902-1994), per</w:t>
      </w:r>
      <w:r>
        <w:t xml:space="preserve"> </w:t>
      </w:r>
      <w:r>
        <w:rPr>
          <w:iCs/>
          <w:i/>
        </w:rPr>
        <w:t xml:space="preserve">Logik der Forschung</w:t>
      </w:r>
      <w:r>
        <w:t xml:space="preserve"> </w:t>
      </w:r>
      <w:r>
        <w:t xml:space="preserve">(1934) e</w:t>
      </w:r>
      <w:r>
        <w:t xml:space="preserve"> </w:t>
      </w:r>
      <w:r>
        <w:rPr>
          <w:iCs/>
          <w:i/>
        </w:rPr>
        <w:t xml:space="preserve">The Logic of Scientific Discovery</w:t>
      </w:r>
      <w:r>
        <w:t xml:space="preserve"> </w:t>
      </w:r>
      <w:r>
        <w:t xml:space="preserve">(1959). Funzione: falsificazionismo, criterio di demarcazione, critica dell’induzione.</w:t>
      </w:r>
    </w:p>
    <w:p>
      <w:pPr>
        <w:pStyle w:val="BodyText"/>
      </w:pPr>
      <w:r>
        <w:rPr>
          <w:bCs/>
          <w:b/>
        </w:rPr>
        <w:t xml:space="preserve">Bertrand Russell</w:t>
      </w:r>
      <w:r>
        <w:t xml:space="preserve"> </w:t>
      </w:r>
      <w:r>
        <w:t xml:space="preserve">(1872-1970), per</w:t>
      </w:r>
      <w:r>
        <w:t xml:space="preserve"> </w:t>
      </w:r>
      <w:r>
        <w:rPr>
          <w:iCs/>
          <w:i/>
        </w:rPr>
        <w:t xml:space="preserve">The Problems of Philosophy</w:t>
      </w:r>
      <w:r>
        <w:t xml:space="preserve"> </w:t>
      </w:r>
      <w:r>
        <w:t xml:space="preserve">(1912). Funzione: esempio del pollo induttivista, assunto nella Nota come metafora-guida del rischio strutturale del progetto.</w:t>
      </w:r>
    </w:p>
    <w:p>
      <w:pPr>
        <w:pStyle w:val="BodyText"/>
      </w:pPr>
      <w:r>
        <w:rPr>
          <w:bCs/>
          <w:b/>
        </w:rPr>
        <w:t xml:space="preserve">Carlo Ginzburg</w:t>
      </w:r>
      <w:r>
        <w:t xml:space="preserve"> </w:t>
      </w:r>
      <w:r>
        <w:t xml:space="preserve">(n. 1939), per</w:t>
      </w:r>
      <w:r>
        <w:t xml:space="preserve"> </w:t>
      </w:r>
      <w:r>
        <w:rPr>
          <w:iCs/>
          <w:i/>
        </w:rPr>
        <w:t xml:space="preserve">Spie: radici di un paradigma indiziario</w:t>
      </w:r>
      <w:r>
        <w:t xml:space="preserve"> </w:t>
      </w:r>
      <w:r>
        <w:t xml:space="preserve">(1979, in</w:t>
      </w:r>
      <w:r>
        <w:t xml:space="preserve"> </w:t>
      </w:r>
      <w:r>
        <w:rPr>
          <w:iCs/>
          <w:i/>
        </w:rPr>
        <w:t xml:space="preserve">Miti, emblemi, spie</w:t>
      </w:r>
      <w:r>
        <w:t xml:space="preserve">, 1986). Funzione: paradigma indiziario, conoscenza per tracce, primato dell’anomalia e del dettaglio marginale. Nodi satelliti citati nel medesimo passaggio:</w:t>
      </w:r>
      <w:r>
        <w:t xml:space="preserve"> </w:t>
      </w:r>
      <w:r>
        <w:rPr>
          <w:bCs/>
          <w:b/>
        </w:rPr>
        <w:t xml:space="preserve">Giovanni Morelli</w:t>
      </w:r>
      <w:r>
        <w:t xml:space="preserve"> </w:t>
      </w:r>
      <w:r>
        <w:t xml:space="preserve">(semiotica medica applicata all’attribuzione artistica),</w:t>
      </w:r>
      <w:r>
        <w:t xml:space="preserve"> </w:t>
      </w:r>
      <w:r>
        <w:rPr>
          <w:bCs/>
          <w:b/>
        </w:rPr>
        <w:t xml:space="preserve">Sigmund Freud</w:t>
      </w:r>
      <w:r>
        <w:t xml:space="preserve"> </w:t>
      </w:r>
      <w:r>
        <w:t xml:space="preserve">(psicoanalisi come lettura del sintomo involontario),</w:t>
      </w:r>
      <w:r>
        <w:t xml:space="preserve"> </w:t>
      </w:r>
      <w:r>
        <w:rPr>
          <w:bCs/>
          <w:b/>
        </w:rPr>
        <w:t xml:space="preserve">Arthur Conan Doyle</w:t>
      </w:r>
      <w:r>
        <w:t xml:space="preserve"> </w:t>
      </w:r>
      <w:r>
        <w:t xml:space="preserve">e la figura di</w:t>
      </w:r>
      <w:r>
        <w:t xml:space="preserve"> </w:t>
      </w:r>
      <w:r>
        <w:rPr>
          <w:bCs/>
          <w:b/>
        </w:rPr>
        <w:t xml:space="preserve">Sherlock Holmes</w:t>
      </w:r>
      <w:r>
        <w:t xml:space="preserve"> </w:t>
      </w:r>
      <w:r>
        <w:t xml:space="preserve">(metodo investigativo per indizi).</w:t>
      </w:r>
    </w:p>
    <w:p>
      <w:pPr>
        <w:pStyle w:val="BodyText"/>
      </w:pPr>
      <w:r>
        <w:rPr>
          <w:bCs/>
          <w:b/>
        </w:rPr>
        <w:t xml:space="preserve">Niklas Luhmann</w:t>
      </w:r>
      <w:r>
        <w:t xml:space="preserve"> </w:t>
      </w:r>
      <w:r>
        <w:t xml:space="preserve">(1927-1998), per</w:t>
      </w:r>
      <w:r>
        <w:t xml:space="preserve"> </w:t>
      </w:r>
      <w:r>
        <w:rPr>
          <w:iCs/>
          <w:i/>
        </w:rPr>
        <w:t xml:space="preserve">Soziale Systeme</w:t>
      </w:r>
      <w:r>
        <w:t xml:space="preserve"> </w:t>
      </w:r>
      <w:r>
        <w:t xml:space="preserve">(1984). Funzione: chiusura operativa e apertura cognitiva dei sistemi, codici binari, accoppiamento strutturale, distinzione fra operazione e osservazione.</w:t>
      </w:r>
      <w:r>
        <w:t xml:space="preserve"> </w:t>
      </w:r>
      <w:r>
        <w:rPr>
          <w:bCs/>
          <w:b/>
        </w:rPr>
        <w:t xml:space="preserve">Humberto Maturana</w:t>
      </w:r>
      <w:r>
        <w:t xml:space="preserve"> </w:t>
      </w:r>
      <w:r>
        <w:t xml:space="preserve">e</w:t>
      </w:r>
      <w:r>
        <w:t xml:space="preserve"> </w:t>
      </w:r>
      <w:r>
        <w:rPr>
          <w:bCs/>
          <w:b/>
        </w:rPr>
        <w:t xml:space="preserve">Francisco Varela</w:t>
      </w:r>
      <w:r>
        <w:t xml:space="preserve">, per</w:t>
      </w:r>
      <w:r>
        <w:t xml:space="preserve"> </w:t>
      </w:r>
      <w:r>
        <w:rPr>
          <w:iCs/>
          <w:i/>
        </w:rPr>
        <w:t xml:space="preserve">Autopoiesis and Cognition</w:t>
      </w:r>
      <w:r>
        <w:t xml:space="preserve"> </w:t>
      </w:r>
      <w:r>
        <w:t xml:space="preserve">(1980). Funzione: autopoiesi come quarto criterio di demarcazione dei domini.</w:t>
      </w:r>
      <w:r>
        <w:t xml:space="preserve"> </w:t>
      </w:r>
      <w:r>
        <w:rPr>
          <w:bCs/>
          <w:b/>
        </w:rPr>
        <w:t xml:space="preserve">Pierre Bourdieu</w:t>
      </w:r>
      <w:r>
        <w:t xml:space="preserve"> </w:t>
      </w:r>
      <w:r>
        <w:t xml:space="preserve">(1930-2002), per</w:t>
      </w:r>
      <w:r>
        <w:t xml:space="preserve"> </w:t>
      </w:r>
      <w:r>
        <w:rPr>
          <w:iCs/>
          <w:i/>
        </w:rPr>
        <w:t xml:space="preserve">La distinction</w:t>
      </w:r>
      <w:r>
        <w:t xml:space="preserve"> </w:t>
      </w:r>
      <w:r>
        <w:t xml:space="preserve">(1979) e</w:t>
      </w:r>
      <w:r>
        <w:t xml:space="preserve"> </w:t>
      </w:r>
      <w:r>
        <w:rPr>
          <w:iCs/>
          <w:i/>
        </w:rPr>
        <w:t xml:space="preserve">Les règles de l’art</w:t>
      </w:r>
      <w:r>
        <w:t xml:space="preserve"> </w:t>
      </w:r>
      <w:r>
        <w:t xml:space="preserve">(1992). Funzione: teoria dei campi sociali alla base dei criteri di autonomia funzionale.</w:t>
      </w:r>
    </w:p>
    <w:p>
      <w:pPr>
        <w:pStyle w:val="BodyText"/>
      </w:pPr>
      <w:r>
        <w:rPr>
          <w:bCs/>
          <w:b/>
        </w:rPr>
        <w:t xml:space="preserve">Klaus von Lampe</w:t>
      </w:r>
      <w:r>
        <w:t xml:space="preserve">,</w:t>
      </w:r>
      <w:r>
        <w:t xml:space="preserve"> </w:t>
      </w:r>
      <w:r>
        <w:rPr>
          <w:bCs/>
          <w:b/>
        </w:rPr>
        <w:t xml:space="preserve">Mangai Natarajan</w:t>
      </w:r>
      <w:r>
        <w:t xml:space="preserve"> </w:t>
      </w:r>
      <w:r>
        <w:t xml:space="preserve">e</w:t>
      </w:r>
      <w:r>
        <w:t xml:space="preserve"> </w:t>
      </w:r>
      <w:r>
        <w:rPr>
          <w:bCs/>
          <w:b/>
        </w:rPr>
        <w:t xml:space="preserve">Maurizio Catino</w:t>
      </w:r>
      <w:r>
        <w:t xml:space="preserve"> </w:t>
      </w:r>
      <w:r>
        <w:t xml:space="preserve">per la genealogia della network analysis applicata alla criminalità organizzata. Catino, in particolare, per la tesi della rete di reti contro la vulgata dell’organizzazione gerarchica monolitica.</w:t>
      </w:r>
    </w:p>
    <w:p>
      <w:pPr>
        <w:pStyle w:val="BodyText"/>
      </w:pPr>
      <w:r>
        <w:rPr>
          <w:bCs/>
          <w:b/>
        </w:rPr>
        <w:t xml:space="preserve">Stanley Wasserman</w:t>
      </w:r>
      <w:r>
        <w:t xml:space="preserve"> </w:t>
      </w:r>
      <w:r>
        <w:t xml:space="preserve">e</w:t>
      </w:r>
      <w:r>
        <w:t xml:space="preserve"> </w:t>
      </w:r>
      <w:r>
        <w:rPr>
          <w:bCs/>
          <w:b/>
        </w:rPr>
        <w:t xml:space="preserve">Katherine Faust</w:t>
      </w:r>
      <w:r>
        <w:t xml:space="preserve"> </w:t>
      </w:r>
      <w:r>
        <w:t xml:space="preserve">(1994),</w:t>
      </w:r>
      <w:r>
        <w:t xml:space="preserve"> </w:t>
      </w:r>
      <w:r>
        <w:rPr>
          <w:bCs/>
          <w:b/>
        </w:rPr>
        <w:t xml:space="preserve">Mark Newman</w:t>
      </w:r>
      <w:r>
        <w:t xml:space="preserve"> </w:t>
      </w:r>
      <w:r>
        <w:t xml:space="preserve">(2010),</w:t>
      </w:r>
      <w:r>
        <w:t xml:space="preserve"> </w:t>
      </w:r>
      <w:r>
        <w:rPr>
          <w:bCs/>
          <w:b/>
        </w:rPr>
        <w:t xml:space="preserve">Linton Freeman</w:t>
      </w:r>
      <w:r>
        <w:t xml:space="preserve"> </w:t>
      </w:r>
      <w:r>
        <w:t xml:space="preserve">(1978-1979),</w:t>
      </w:r>
      <w:r>
        <w:t xml:space="preserve"> </w:t>
      </w:r>
      <w:r>
        <w:rPr>
          <w:bCs/>
          <w:b/>
        </w:rPr>
        <w:t xml:space="preserve">Ronald Burt</w:t>
      </w:r>
      <w:r>
        <w:t xml:space="preserve"> </w:t>
      </w:r>
      <w:r>
        <w:t xml:space="preserve">(1992),</w:t>
      </w:r>
      <w:r>
        <w:t xml:space="preserve"> </w:t>
      </w:r>
      <w:r>
        <w:rPr>
          <w:bCs/>
          <w:b/>
        </w:rPr>
        <w:t xml:space="preserve">Vincent Blondel</w:t>
      </w:r>
      <w:r>
        <w:t xml:space="preserve"> </w:t>
      </w:r>
      <w:r>
        <w:t xml:space="preserve">e collaboratori (2008),</w:t>
      </w:r>
      <w:r>
        <w:t xml:space="preserve"> </w:t>
      </w:r>
      <w:r>
        <w:rPr>
          <w:bCs/>
          <w:b/>
        </w:rPr>
        <w:t xml:space="preserve">Michelle Girvan</w:t>
      </w:r>
      <w:r>
        <w:t xml:space="preserve"> </w:t>
      </w:r>
      <w:r>
        <w:t xml:space="preserve">e</w:t>
      </w:r>
      <w:r>
        <w:t xml:space="preserve"> </w:t>
      </w:r>
      <w:r>
        <w:rPr>
          <w:bCs/>
          <w:b/>
        </w:rPr>
        <w:t xml:space="preserve">Mark Newman</w:t>
      </w:r>
      <w:r>
        <w:t xml:space="preserve"> </w:t>
      </w:r>
      <w:r>
        <w:t xml:space="preserve">(2002),</w:t>
      </w:r>
      <w:r>
        <w:t xml:space="preserve"> </w:t>
      </w:r>
      <w:r>
        <w:rPr>
          <w:bCs/>
          <w:b/>
        </w:rPr>
        <w:t xml:space="preserve">Mikko Kivelä</w:t>
      </w:r>
      <w:r>
        <w:t xml:space="preserve"> </w:t>
      </w:r>
      <w:r>
        <w:t xml:space="preserve">e collaboratori (2014),</w:t>
      </w:r>
      <w:r>
        <w:t xml:space="preserve"> </w:t>
      </w:r>
      <w:r>
        <w:rPr>
          <w:bCs/>
          <w:b/>
        </w:rPr>
        <w:t xml:space="preserve">Petter Holme</w:t>
      </w:r>
      <w:r>
        <w:t xml:space="preserve"> </w:t>
      </w:r>
      <w:r>
        <w:t xml:space="preserve">e</w:t>
      </w:r>
      <w:r>
        <w:t xml:space="preserve"> </w:t>
      </w:r>
      <w:r>
        <w:rPr>
          <w:bCs/>
          <w:b/>
        </w:rPr>
        <w:t xml:space="preserve">Jari Saramäki</w:t>
      </w:r>
      <w:r>
        <w:t xml:space="preserve"> </w:t>
      </w:r>
      <w:r>
        <w:t xml:space="preserve">(2012),</w:t>
      </w:r>
      <w:r>
        <w:t xml:space="preserve"> </w:t>
      </w:r>
      <w:r>
        <w:rPr>
          <w:bCs/>
          <w:b/>
        </w:rPr>
        <w:t xml:space="preserve">Ravindra Ahuja</w:t>
      </w:r>
      <w:r>
        <w:t xml:space="preserve">,</w:t>
      </w:r>
      <w:r>
        <w:t xml:space="preserve"> </w:t>
      </w:r>
      <w:r>
        <w:rPr>
          <w:bCs/>
          <w:b/>
        </w:rPr>
        <w:t xml:space="preserve">Thomas Magnanti</w:t>
      </w:r>
      <w:r>
        <w:t xml:space="preserve"> </w:t>
      </w:r>
      <w:r>
        <w:t xml:space="preserve">e</w:t>
      </w:r>
      <w:r>
        <w:t xml:space="preserve"> </w:t>
      </w:r>
      <w:r>
        <w:rPr>
          <w:bCs/>
          <w:b/>
        </w:rPr>
        <w:t xml:space="preserve">James Orlin</w:t>
      </w:r>
      <w:r>
        <w:t xml:space="preserve"> </w:t>
      </w:r>
      <w:r>
        <w:t xml:space="preserve">(1993): l’apparato tecnico della SNA, rispettivamente per metodi e applicazioni, introduzione alle reti, chiarificazione concettuale della centralità, buchi strutturali, algoritmo di Louvain, algoritmo di Girvan-Newman, reti multilivello, reti temporali, flussi di rete.</w:t>
      </w:r>
    </w:p>
    <w:p>
      <w:pPr>
        <w:pStyle w:val="BodyText"/>
      </w:pPr>
      <w:r>
        <w:rPr>
          <w:bCs/>
          <w:b/>
        </w:rPr>
        <w:t xml:space="preserve">Claude Shannon</w:t>
      </w:r>
      <w:r>
        <w:t xml:space="preserve"> </w:t>
      </w:r>
      <w:r>
        <w:t xml:space="preserve">(1948) per la teoria dell’informazione applicata alla soglia di significatività delle coppie inter-dominio.</w:t>
      </w:r>
      <w:r>
        <w:t xml:space="preserve"> </w:t>
      </w:r>
      <w:r>
        <w:rPr>
          <w:bCs/>
          <w:b/>
        </w:rPr>
        <w:t xml:space="preserve">Petrus van Duyne</w:t>
      </w:r>
      <w:r>
        <w:t xml:space="preserve"> </w:t>
      </w:r>
      <w:r>
        <w:t xml:space="preserve">(2001) per la criminologia analitica transfrontaliera alla base della tipologia degli archi.</w:t>
      </w:r>
      <w:r>
        <w:t xml:space="preserve"> </w:t>
      </w:r>
      <w:r>
        <w:rPr>
          <w:bCs/>
          <w:b/>
        </w:rPr>
        <w:t xml:space="preserve">Edgar Morin</w:t>
      </w:r>
      <w:r>
        <w:t xml:space="preserve"> </w:t>
      </w:r>
      <w:r>
        <w:t xml:space="preserve">per</w:t>
      </w:r>
      <w:r>
        <w:t xml:space="preserve"> </w:t>
      </w:r>
      <w:r>
        <w:rPr>
          <w:iCs/>
          <w:i/>
        </w:rPr>
        <w:t xml:space="preserve">La Méthode</w:t>
      </w:r>
      <w:r>
        <w:t xml:space="preserve"> </w:t>
      </w:r>
      <w:r>
        <w:t xml:space="preserve">e la rinuncia alla causalità lineare.</w:t>
      </w:r>
      <w:r>
        <w:t xml:space="preserve"> </w:t>
      </w:r>
      <w:r>
        <w:rPr>
          <w:bCs/>
          <w:b/>
        </w:rPr>
        <w:t xml:space="preserve">Barney Glaser</w:t>
      </w:r>
      <w:r>
        <w:t xml:space="preserve"> </w:t>
      </w:r>
      <w:r>
        <w:t xml:space="preserve">e</w:t>
      </w:r>
      <w:r>
        <w:t xml:space="preserve"> </w:t>
      </w:r>
      <w:r>
        <w:rPr>
          <w:bCs/>
          <w:b/>
        </w:rPr>
        <w:t xml:space="preserve">Anselm Strauss</w:t>
      </w:r>
      <w:r>
        <w:t xml:space="preserve"> </w:t>
      </w:r>
      <w:r>
        <w:t xml:space="preserve">(1967) per la Grounded Theory e la costruzione dal basso.</w:t>
      </w:r>
      <w:r>
        <w:t xml:space="preserve"> </w:t>
      </w:r>
      <w:r>
        <w:rPr>
          <w:bCs/>
          <w:b/>
        </w:rPr>
        <w:t xml:space="preserve">Richards Heuer</w:t>
      </w:r>
      <w:r>
        <w:t xml:space="preserve"> </w:t>
      </w:r>
      <w:r>
        <w:t xml:space="preserve">(1999) per l’Analysis of Competing Hypotheses.</w:t>
      </w:r>
      <w:r>
        <w:t xml:space="preserve"> </w:t>
      </w:r>
      <w:r>
        <w:rPr>
          <w:bCs/>
          <w:b/>
        </w:rPr>
        <w:t xml:space="preserve">Harrison White</w:t>
      </w:r>
      <w:r>
        <w:t xml:space="preserve"> </w:t>
      </w:r>
      <w:r>
        <w:t xml:space="preserve">(1970) e</w:t>
      </w:r>
      <w:r>
        <w:t xml:space="preserve"> </w:t>
      </w:r>
      <w:r>
        <w:rPr>
          <w:bCs/>
          <w:b/>
        </w:rPr>
        <w:t xml:space="preserve">Howard Becker</w:t>
      </w:r>
      <w:r>
        <w:t xml:space="preserve"> </w:t>
      </w:r>
      <w:r>
        <w:t xml:space="preserve">(1963) per l’analisi delle traiettorie e della devianza.</w:t>
      </w:r>
      <w:r>
        <w:t xml:space="preserve"> </w:t>
      </w:r>
      <w:r>
        <w:rPr>
          <w:bCs/>
          <w:b/>
        </w:rPr>
        <w:t xml:space="preserve">Naomi Klein</w:t>
      </w:r>
      <w:r>
        <w:t xml:space="preserve"> </w:t>
      </w:r>
      <w:r>
        <w:t xml:space="preserve">(2007) per la shock doctrine adattata in chiave criminologica.</w:t>
      </w:r>
      <w:r>
        <w:t xml:space="preserve"> </w:t>
      </w:r>
      <w:r>
        <w:rPr>
          <w:bCs/>
          <w:b/>
        </w:rPr>
        <w:t xml:space="preserve">Michael Mann</w:t>
      </w:r>
      <w:r>
        <w:t xml:space="preserve"> </w:t>
      </w:r>
      <w:r>
        <w:t xml:space="preserve">per le fonti del potere sociale.</w:t>
      </w:r>
      <w:r>
        <w:t xml:space="preserve"> </w:t>
      </w:r>
      <w:r>
        <w:rPr>
          <w:bCs/>
          <w:b/>
        </w:rPr>
        <w:t xml:space="preserve">Waldo Tobler</w:t>
      </w:r>
      <w:r>
        <w:t xml:space="preserve"> </w:t>
      </w:r>
      <w:r>
        <w:t xml:space="preserve">(1970) e</w:t>
      </w:r>
      <w:r>
        <w:t xml:space="preserve"> </w:t>
      </w:r>
      <w:r>
        <w:rPr>
          <w:bCs/>
          <w:b/>
        </w:rPr>
        <w:t xml:space="preserve">Bill Hillier</w:t>
      </w:r>
      <w:r>
        <w:t xml:space="preserve"> </w:t>
      </w:r>
      <w:r>
        <w:t xml:space="preserve">(1996) per la prima legge della geografia e la teoria configurazionale dello spazio.</w:t>
      </w:r>
      <w:r>
        <w:t xml:space="preserve"> </w:t>
      </w:r>
      <w:r>
        <w:rPr>
          <w:bCs/>
          <w:b/>
        </w:rPr>
        <w:t xml:space="preserve">Paul DiMaggio</w:t>
      </w:r>
      <w:r>
        <w:t xml:space="preserve"> </w:t>
      </w:r>
      <w:r>
        <w:t xml:space="preserve">e</w:t>
      </w:r>
      <w:r>
        <w:t xml:space="preserve"> </w:t>
      </w:r>
      <w:r>
        <w:rPr>
          <w:bCs/>
          <w:b/>
        </w:rPr>
        <w:t xml:space="preserve">Walter Powell</w:t>
      </w:r>
      <w:r>
        <w:t xml:space="preserve"> </w:t>
      </w:r>
      <w:r>
        <w:t xml:space="preserve">(1983) per l’isomorfismo istituzionale.</w:t>
      </w:r>
      <w:r>
        <w:t xml:space="preserve"> </w:t>
      </w:r>
      <w:r>
        <w:rPr>
          <w:bCs/>
          <w:b/>
        </w:rPr>
        <w:t xml:space="preserve">Ernesto Savona</w:t>
      </w:r>
      <w:r>
        <w:t xml:space="preserve"> </w:t>
      </w:r>
      <w:r>
        <w:t xml:space="preserve">(1999, 2012) per la triangolazione delle fonti e lo standard probatorio.</w:t>
      </w:r>
      <w:r>
        <w:t xml:space="preserve"> </w:t>
      </w:r>
      <w:r>
        <w:rPr>
          <w:bCs/>
          <w:b/>
        </w:rPr>
        <w:t xml:space="preserve">William Whewell</w:t>
      </w:r>
      <w:r>
        <w:t xml:space="preserve"> </w:t>
      </w:r>
      <w:r>
        <w:t xml:space="preserve">(1840) e</w:t>
      </w:r>
      <w:r>
        <w:t xml:space="preserve"> </w:t>
      </w:r>
      <w:r>
        <w:rPr>
          <w:bCs/>
          <w:b/>
        </w:rPr>
        <w:t xml:space="preserve">Edward O. Wilson</w:t>
      </w:r>
      <w:r>
        <w:t xml:space="preserve"> </w:t>
      </w:r>
      <w:r>
        <w:t xml:space="preserve">(1998) per la consilienza delle evidenze.</w:t>
      </w:r>
      <w:r>
        <w:t xml:space="preserve"> </w:t>
      </w:r>
      <w:r>
        <w:rPr>
          <w:bCs/>
          <w:b/>
        </w:rPr>
        <w:t xml:space="preserve">Clifford Geertz</w:t>
      </w:r>
      <w:r>
        <w:t xml:space="preserve"> </w:t>
      </w:r>
      <w:r>
        <w:t xml:space="preserve">(1973),</w:t>
      </w:r>
      <w:r>
        <w:t xml:space="preserve"> </w:t>
      </w:r>
      <w:r>
        <w:rPr>
          <w:bCs/>
          <w:b/>
        </w:rPr>
        <w:t xml:space="preserve">Eric Hobsbawm</w:t>
      </w:r>
      <w:r>
        <w:t xml:space="preserve"> </w:t>
      </w:r>
      <w:r>
        <w:t xml:space="preserve">(1994),</w:t>
      </w:r>
      <w:r>
        <w:t xml:space="preserve"> </w:t>
      </w:r>
      <w:r>
        <w:rPr>
          <w:bCs/>
          <w:b/>
        </w:rPr>
        <w:t xml:space="preserve">Basarab Nicolescu</w:t>
      </w:r>
      <w:r>
        <w:t xml:space="preserve"> </w:t>
      </w:r>
      <w:r>
        <w:t xml:space="preserve">(2002) e</w:t>
      </w:r>
      <w:r>
        <w:t xml:space="preserve"> </w:t>
      </w:r>
      <w:r>
        <w:rPr>
          <w:bCs/>
          <w:b/>
        </w:rPr>
        <w:t xml:space="preserve">Marilyn Peterson</w:t>
      </w:r>
      <w:r>
        <w:t xml:space="preserve"> </w:t>
      </w:r>
      <w:r>
        <w:t xml:space="preserve">(2005) come voci bibliografiche integrative non richiamate nel corpo testuale.</w:t>
      </w:r>
    </w:p>
    <w:bookmarkEnd w:id="32"/>
    <w:bookmarkStart w:id="33" w:name="X433de1a34ea2693ac3f684ad0ea8b3303918ad4"/>
    <w:p>
      <w:pPr>
        <w:pStyle w:val="Heading2"/>
      </w:pPr>
      <w:r>
        <w:t xml:space="preserve">§ 3.2 — Nodi-oggetto italiani richiamati dalla Nota Metodologica</w:t>
      </w:r>
    </w:p>
    <w:p>
      <w:pPr>
        <w:pStyle w:val="FirstParagraph"/>
      </w:pPr>
      <w:r>
        <w:t xml:space="preserve">Si registrano per completezza inventariale i nodi-oggetto già presenti nel corpus permanente e richiamati nella Nota a titolo esemplificativo. La loro caratterizzazione analitica risiede nelle compilazioni precedenti del Registro e non viene qui reiterata.</w:t>
      </w:r>
    </w:p>
    <w:p>
      <w:pPr>
        <w:pStyle w:val="BodyText"/>
      </w:pPr>
      <w:r>
        <w:rPr>
          <w:bCs/>
          <w:b/>
        </w:rPr>
        <w:t xml:space="preserve">Licio Gelli</w:t>
      </w:r>
      <w:r>
        <w:t xml:space="preserve">, richiamato come esempio di massimo degree centrality con presenza simultanea nei domini massoneria, intelligence, politica, economia, crimine.</w:t>
      </w:r>
      <w:r>
        <w:t xml:space="preserve"> </w:t>
      </w:r>
      <w:r>
        <w:rPr>
          <w:bCs/>
          <w:b/>
        </w:rPr>
        <w:t xml:space="preserve">Michele Sindona</w:t>
      </w:r>
      <w:r>
        <w:t xml:space="preserve">, richiamato come esempio di massima betweenness centrality e come ponte la cui rimozione disconnetterebbe il Dominio 1 dal Dominio 5.</w:t>
      </w:r>
      <w:r>
        <w:t xml:space="preserve"> </w:t>
      </w:r>
      <w:r>
        <w:rPr>
          <w:bCs/>
          <w:b/>
        </w:rPr>
        <w:t xml:space="preserve">Giulio Andreotti</w:t>
      </w:r>
      <w:r>
        <w:t xml:space="preserve">, richiamato per presenza in sei domini.</w:t>
      </w:r>
      <w:r>
        <w:t xml:space="preserve"> </w:t>
      </w:r>
      <w:r>
        <w:rPr>
          <w:bCs/>
          <w:b/>
        </w:rPr>
        <w:t xml:space="preserve">Salvatore Riina</w:t>
      </w:r>
      <w:r>
        <w:t xml:space="preserve">,</w:t>
      </w:r>
      <w:r>
        <w:t xml:space="preserve"> </w:t>
      </w:r>
      <w:r>
        <w:rPr>
          <w:bCs/>
          <w:b/>
        </w:rPr>
        <w:t xml:space="preserve">Vito Ciancimino</w:t>
      </w:r>
      <w:r>
        <w:t xml:space="preserve"> </w:t>
      </w:r>
      <w:r>
        <w:t xml:space="preserve">e</w:t>
      </w:r>
      <w:r>
        <w:t xml:space="preserve"> </w:t>
      </w:r>
      <w:r>
        <w:rPr>
          <w:bCs/>
          <w:b/>
        </w:rPr>
        <w:t xml:space="preserve">Salvo Lima</w:t>
      </w:r>
      <w:r>
        <w:t xml:space="preserve">, richiamati come illustrazione della rete multilivello: Ciancimino come nodo esistente simultaneamente negli strati crimine, politica ed economia, con archi intra-layer verso Riina nello strato crimine e verso Lima nello strato politica, e archi inter-layer fra la posizione politica e l’affiliazione mafiosa.</w:t>
      </w:r>
      <w:r>
        <w:t xml:space="preserve"> </w:t>
      </w:r>
      <w:r>
        <w:rPr>
          <w:bCs/>
          <w:b/>
        </w:rPr>
        <w:t xml:space="preserve">Aldo Moro</w:t>
      </w:r>
      <w:r>
        <w:t xml:space="preserve">, richiamato come nodo-evento.</w:t>
      </w:r>
      <w:r>
        <w:t xml:space="preserve"> </w:t>
      </w:r>
      <w:r>
        <w:rPr>
          <w:bCs/>
          <w:b/>
        </w:rPr>
        <w:t xml:space="preserve">Mauro De Mauro</w:t>
      </w:r>
      <w:r>
        <w:t xml:space="preserve"> </w:t>
      </w:r>
      <w:r>
        <w:t xml:space="preserve">e</w:t>
      </w:r>
      <w:r>
        <w:t xml:space="preserve"> </w:t>
      </w:r>
      <w:r>
        <w:rPr>
          <w:bCs/>
          <w:b/>
        </w:rPr>
        <w:t xml:space="preserve">Roberto Catanzaro</w:t>
      </w:r>
      <w:r>
        <w:t xml:space="preserve">, richiamati come estremi cronologici del giornalismo investigativo.</w:t>
      </w:r>
      <w:r>
        <w:t xml:space="preserve"> </w:t>
      </w:r>
      <w:r>
        <w:rPr>
          <w:bCs/>
          <w:b/>
        </w:rPr>
        <w:t xml:space="preserve">Vito Genovese</w:t>
      </w:r>
      <w:r>
        <w:t xml:space="preserve">, richiamato in relazione a Thompson Street. Le dinastie</w:t>
      </w:r>
      <w:r>
        <w:t xml:space="preserve"> </w:t>
      </w:r>
      <w:r>
        <w:rPr>
          <w:bCs/>
          <w:b/>
        </w:rPr>
        <w:t xml:space="preserve">Bufalino</w:t>
      </w:r>
      <w:r>
        <w:t xml:space="preserve"> </w:t>
      </w:r>
      <w:r>
        <w:t xml:space="preserve">di Montedoro,</w:t>
      </w:r>
      <w:r>
        <w:t xml:space="preserve"> </w:t>
      </w:r>
      <w:r>
        <w:rPr>
          <w:bCs/>
          <w:b/>
        </w:rPr>
        <w:t xml:space="preserve">Trafficante</w:t>
      </w:r>
      <w:r>
        <w:t xml:space="preserve"> </w:t>
      </w:r>
      <w:r>
        <w:t xml:space="preserve">di Cianciana,</w:t>
      </w:r>
      <w:r>
        <w:t xml:space="preserve"> </w:t>
      </w:r>
      <w:r>
        <w:rPr>
          <w:bCs/>
          <w:b/>
        </w:rPr>
        <w:t xml:space="preserve">Lima</w:t>
      </w:r>
      <w:r>
        <w:t xml:space="preserve"> </w:t>
      </w:r>
      <w:r>
        <w:t xml:space="preserve">e</w:t>
      </w:r>
      <w:r>
        <w:t xml:space="preserve"> </w:t>
      </w:r>
      <w:r>
        <w:rPr>
          <w:bCs/>
          <w:b/>
        </w:rPr>
        <w:t xml:space="preserve">Morello-Terranova</w:t>
      </w:r>
      <w:r>
        <w:t xml:space="preserve">, richiamate come casistica del Pattern 9.</w:t>
      </w:r>
      <w:r>
        <w:t xml:space="preserve"> </w:t>
      </w:r>
      <w:r>
        <w:rPr>
          <w:bCs/>
          <w:b/>
        </w:rPr>
        <w:t xml:space="preserve">Junio Valerio Borghese</w:t>
      </w:r>
      <w:r>
        <w:t xml:space="preserve"> </w:t>
      </w:r>
      <w:r>
        <w:t xml:space="preserve">implicitamente, tramite il richiamo al Golpe Borghese fra le eversioni militari. La</w:t>
      </w:r>
      <w:r>
        <w:t xml:space="preserve"> </w:t>
      </w:r>
      <w:r>
        <w:rPr>
          <w:bCs/>
          <w:b/>
        </w:rPr>
        <w:t xml:space="preserve">rete Abu Nidal</w:t>
      </w:r>
      <w:r>
        <w:t xml:space="preserve"> </w:t>
      </w:r>
      <w:r>
        <w:t xml:space="preserve">fra le manifestazioni del terrorismo internazionale sul territorio italiano.</w:t>
      </w:r>
    </w:p>
    <w:bookmarkEnd w:id="33"/>
    <w:bookmarkStart w:id="34" w:name="X72fb42372991bea6fb6d91da4c473304fb7cbe3"/>
    <w:p>
      <w:pPr>
        <w:pStyle w:val="Heading2"/>
      </w:pPr>
      <w:r>
        <w:t xml:space="preserve">§ 3.3 — Nodi-persona della PayPal Mafia: censimento integrale con classificazione ternaria</w:t>
      </w:r>
    </w:p>
    <w:p>
      <w:pPr>
        <w:pStyle w:val="FirstParagraph"/>
      </w:pPr>
      <w:r>
        <w:t xml:space="preserve">Il censimento assume come universo la lista integrale dei fondatori, dirigenti e dipendenti fondatori di Confinity, X.com e PayPal comunemente designati con l’espressione PayPal Mafia, e non la sola composizione della celebre fotografia pubblicata da Fortune nel 2007. La classificazione è espressa secondo le tre categorie stabilite dall’Unità Documentale 3: categoria A per la connessione documentata, categoria B per la coincidenza onomastica o geografica non probatoria, categoria C per l’assenza di connessione. Si sottolinea con la massima nettezza che la categoria A, ove attribuita, si riferisce al</w:t>
      </w:r>
      <w:r>
        <w:t xml:space="preserve"> </w:t>
      </w:r>
      <w:r>
        <w:rPr>
          <w:bCs/>
          <w:b/>
        </w:rPr>
        <w:t xml:space="preserve">dato biografico documentato</w:t>
      </w:r>
      <w:r>
        <w:t xml:space="preserve"> </w:t>
      </w:r>
      <w:r>
        <w:t xml:space="preserve">e non a un’affiliazione alle reti operative oggetto del corpus di progetto.</w:t>
      </w:r>
    </w:p>
    <w:p>
      <w:pPr>
        <w:pStyle w:val="BodyText"/>
      </w:pPr>
      <w:r>
        <w:rPr>
          <w:bCs/>
          <w:b/>
        </w:rPr>
        <w:t xml:space="preserve">Peter Thiel</w:t>
      </w:r>
      <w:r>
        <w:t xml:space="preserve">, nato a Francoforte sul Meno nel 1967. Categoria</w:t>
      </w:r>
      <w:r>
        <w:t xml:space="preserve"> </w:t>
      </w:r>
      <w:r>
        <w:rPr>
          <w:bCs/>
          <w:b/>
        </w:rPr>
        <w:t xml:space="preserve">A per la biografia</w:t>
      </w:r>
      <w:r>
        <w:t xml:space="preserve">. Infanzia trascorsa in Sudafrica e in Namibia, allora Africa del Sud-Ovest sotto occupazione del regime dell’apartheid. Attorno al biennio 1975-1977 la famiglia risiedette a Swakopmund. Frequentò una scuola di lingua tedesca nella medesima località. Il ramo familiare tedesco risale al nonno Herbert, nato a Domnau in Prussia orientale. Cittadinanza statunitense e neozelandese. Trasferimento della famiglia a Buenos Aires nel 2025. Domini prevalenti nella tassonomia ITALIA NERA: D6 economia e finanza, con proiezione D2 politica e D3 intelligence in ragione dell’attività imprenditoriale nel settore della sicurezza e dell’attività di finanziamento politico. Fonti convergenti: The Guardian, biografia</w:t>
      </w:r>
      <w:r>
        <w:t xml:space="preserve"> </w:t>
      </w:r>
      <w:r>
        <w:rPr>
          <w:iCs/>
          <w:i/>
        </w:rPr>
        <w:t xml:space="preserve">The Contrarian</w:t>
      </w:r>
      <w:r>
        <w:t xml:space="preserve"> </w:t>
      </w:r>
      <w:r>
        <w:t xml:space="preserve">di Max Chafkin, The Namibian.</w:t>
      </w:r>
    </w:p>
    <w:p>
      <w:pPr>
        <w:pStyle w:val="BodyText"/>
      </w:pPr>
      <w:r>
        <w:rPr>
          <w:bCs/>
          <w:b/>
        </w:rPr>
        <w:t xml:space="preserve">Elon Musk</w:t>
      </w:r>
      <w:r>
        <w:t xml:space="preserve">, nato a Pretoria nel 1971. Categoria</w:t>
      </w:r>
      <w:r>
        <w:t xml:space="preserve"> </w:t>
      </w:r>
      <w:r>
        <w:rPr>
          <w:bCs/>
          <w:b/>
        </w:rPr>
        <w:t xml:space="preserve">A per la biografia</w:t>
      </w:r>
      <w:r>
        <w:t xml:space="preserve">. Cresciuto integralmente nel Sudafrica dell’apartheid fino all’emigrazione. Domini prevalenti: D6, con proiezione D2, D8 media e D9 forze armate e complesso militare-industriale in ragione delle attività aerospaziali e satellitari. Fonti convergenti: The Atlantic, The New Yorker, CBC, biografia di Walter Isaacson.</w:t>
      </w:r>
    </w:p>
    <w:p>
      <w:pPr>
        <w:pStyle w:val="BodyText"/>
      </w:pPr>
      <w:r>
        <w:rPr>
          <w:bCs/>
          <w:b/>
        </w:rPr>
        <w:t xml:space="preserve">Roelof Botha</w:t>
      </w:r>
      <w:r>
        <w:t xml:space="preserve">, nato a Pretoria nel 1973, direttore finanziario di PayPal e successivamente managing partner di Sequoia Capital. Categoria</w:t>
      </w:r>
      <w:r>
        <w:t xml:space="preserve"> </w:t>
      </w:r>
      <w:r>
        <w:rPr>
          <w:bCs/>
          <w:b/>
        </w:rPr>
        <w:t xml:space="preserve">A per la biografia</w:t>
      </w:r>
      <w:r>
        <w:t xml:space="preserve">, con ponte istituzionale indiretto a due generazioni di distanza. Nipote di Roelof Frederik</w:t>
      </w:r>
      <w:r>
        <w:t xml:space="preserve"> </w:t>
      </w:r>
      <w:r>
        <w:t xml:space="preserve">“</w:t>
      </w:r>
      <w:r>
        <w:t xml:space="preserve">Pik</w:t>
      </w:r>
      <w:r>
        <w:t xml:space="preserve">”</w:t>
      </w:r>
      <w:r>
        <w:t xml:space="preserve"> </w:t>
      </w:r>
      <w:r>
        <w:t xml:space="preserve">Botha. Domini prevalenti: D6, con proiezione genealogica D2.</w:t>
      </w:r>
    </w:p>
    <w:p>
      <w:pPr>
        <w:pStyle w:val="BodyText"/>
      </w:pPr>
      <w:r>
        <w:rPr>
          <w:bCs/>
          <w:b/>
        </w:rPr>
        <w:t xml:space="preserve">David Sacks</w:t>
      </w:r>
      <w:r>
        <w:t xml:space="preserve">, nato a Città del Capo nel 1972 da famiglia ebraica, emigrato nel Tennessee all’età di cinque anni. Categoria</w:t>
      </w:r>
      <w:r>
        <w:t xml:space="preserve"> </w:t>
      </w:r>
      <w:r>
        <w:rPr>
          <w:bCs/>
          <w:b/>
        </w:rPr>
        <w:t xml:space="preserve">A debole per la biografia</w:t>
      </w:r>
      <w:r>
        <w:t xml:space="preserve">: il legame con il Sudafrica è di pura nascita, la formazione e la crescita sono statunitensi. Coautore con Thiel di</w:t>
      </w:r>
      <w:r>
        <w:t xml:space="preserve"> </w:t>
      </w:r>
      <w:r>
        <w:rPr>
          <w:iCs/>
          <w:i/>
        </w:rPr>
        <w:t xml:space="preserve">The Diversity Myth</w:t>
      </w:r>
      <w:r>
        <w:t xml:space="preserve"> </w:t>
      </w:r>
      <w:r>
        <w:t xml:space="preserve">(1995). Domini prevalenti: D6, con proiezione D2.</w:t>
      </w:r>
    </w:p>
    <w:p>
      <w:pPr>
        <w:pStyle w:val="BodyText"/>
      </w:pPr>
      <w:r>
        <w:rPr>
          <w:bCs/>
          <w:b/>
        </w:rPr>
        <w:t xml:space="preserve">Max Levchin</w:t>
      </w:r>
      <w:r>
        <w:t xml:space="preserve">, nato a Kiev nel 1975 da famiglia ebraica ucraina, giunto negli Stati Uniti come rifugiato nel 1991. Categoria</w:t>
      </w:r>
      <w:r>
        <w:t xml:space="preserve"> </w:t>
      </w:r>
      <w:r>
        <w:rPr>
          <w:bCs/>
          <w:b/>
        </w:rPr>
        <w:t xml:space="preserve">C</w:t>
      </w:r>
      <w:r>
        <w:t xml:space="preserve">. Il profilo biografico — fuga dalla persecuzione antisemita in ambito sovietico — è strutturalmente opposto a quello delle reti oggetto del corpus.</w:t>
      </w:r>
    </w:p>
    <w:p>
      <w:pPr>
        <w:pStyle w:val="BodyText"/>
      </w:pPr>
      <w:r>
        <w:rPr>
          <w:bCs/>
          <w:b/>
        </w:rPr>
        <w:t xml:space="preserve">Jawed Karim</w:t>
      </w:r>
      <w:r>
        <w:t xml:space="preserve">, nato a Merseburg nella Repubblica Democratica Tedesca nel 1979, da padre bangladese, poi ricercatore presso 3M, e madre tedesca biochimica; famiglia emigrata a seguito di episodi di razzismo. Categoria</w:t>
      </w:r>
      <w:r>
        <w:t xml:space="preserve"> </w:t>
      </w:r>
      <w:r>
        <w:rPr>
          <w:bCs/>
          <w:b/>
        </w:rPr>
        <w:t xml:space="preserve">C</w:t>
      </w:r>
      <w:r>
        <w:t xml:space="preserve">. Si registra e si respinge esplicitamente la suggestione di un collegamento con la lista NARA dei Foreign Scientist Case Files: la nascita nel blocco socialista e la cronologia familiare escludono qualsiasi relazione con i programmi di trasferimento di scienziati verso gli Stati Uniti nel periodo 1945-1958.</w:t>
      </w:r>
    </w:p>
    <w:p>
      <w:pPr>
        <w:pStyle w:val="BodyText"/>
      </w:pPr>
      <w:r>
        <w:rPr>
          <w:bCs/>
          <w:b/>
        </w:rPr>
        <w:t xml:space="preserve">Reid Hoffman</w:t>
      </w:r>
      <w:r>
        <w:t xml:space="preserve">, nato in California. Categoria</w:t>
      </w:r>
      <w:r>
        <w:t xml:space="preserve"> </w:t>
      </w:r>
      <w:r>
        <w:rPr>
          <w:bCs/>
          <w:b/>
        </w:rPr>
        <w:t xml:space="preserve">C</w:t>
      </w:r>
      <w:r>
        <w:t xml:space="preserve">. Profilo politico progressista, orientamento di finanziamento verso il Partito Democratico: si registra come nodo di</w:t>
      </w:r>
      <w:r>
        <w:t xml:space="preserve"> </w:t>
      </w:r>
      <w:r>
        <w:rPr>
          <w:bCs/>
          <w:b/>
        </w:rPr>
        <w:t xml:space="preserve">polarità opposta</w:t>
      </w:r>
      <w:r>
        <w:t xml:space="preserve"> </w:t>
      </w:r>
      <w:r>
        <w:t xml:space="preserve">rispetto al sotto-cluster Thiel-Musk-Sacks all’interno della medesima rete di origine, dato rilevante ai fini del Pattern 11 (si veda la Parte VIII).</w:t>
      </w:r>
    </w:p>
    <w:p>
      <w:pPr>
        <w:pStyle w:val="BodyText"/>
      </w:pPr>
      <w:r>
        <w:rPr>
          <w:bCs/>
          <w:b/>
        </w:rPr>
        <w:t xml:space="preserve">Ken Howery</w:t>
      </w:r>
      <w:r>
        <w:t xml:space="preserve">, nato in Texas nel 1975, successivamente ambasciatore degli Stati Uniti in Svezia e Danimarca. Categoria</w:t>
      </w:r>
      <w:r>
        <w:t xml:space="preserve"> </w:t>
      </w:r>
      <w:r>
        <w:rPr>
          <w:bCs/>
          <w:b/>
        </w:rPr>
        <w:t xml:space="preserve">C</w:t>
      </w:r>
      <w:r>
        <w:t xml:space="preserve">. Si registra e si smentisce formalmente un falso genealogico circolante su fonti web di bassa qualità, secondo cui sarebbe figlio di Frederick Christ Trump: l’affermazione è priva di fondamento e va scartata. La sua registrazione nel presente Registro ha funzione esclusivamente di sbarramento contro la propagazione dell’errore.</w:t>
      </w:r>
    </w:p>
    <w:p>
      <w:pPr>
        <w:pStyle w:val="BodyText"/>
      </w:pPr>
      <w:r>
        <w:rPr>
          <w:bCs/>
          <w:b/>
        </w:rPr>
        <w:t xml:space="preserve">Luke Nosek</w:t>
      </w:r>
      <w:r>
        <w:t xml:space="preserve">, nato in Polonia ed emigrato negli Stati Uniti in età infantile. Categoria</w:t>
      </w:r>
      <w:r>
        <w:t xml:space="preserve"> </w:t>
      </w:r>
      <w:r>
        <w:rPr>
          <w:bCs/>
          <w:b/>
        </w:rPr>
        <w:t xml:space="preserve">C</w:t>
      </w:r>
      <w:r>
        <w:t xml:space="preserve">.</w:t>
      </w:r>
    </w:p>
    <w:p>
      <w:pPr>
        <w:pStyle w:val="BodyText"/>
      </w:pPr>
      <w:r>
        <w:rPr>
          <w:bCs/>
          <w:b/>
        </w:rPr>
        <w:t xml:space="preserve">Keith Rabois</w:t>
      </w:r>
      <w:r>
        <w:t xml:space="preserve">,</w:t>
      </w:r>
      <w:r>
        <w:t xml:space="preserve"> </w:t>
      </w:r>
      <w:r>
        <w:rPr>
          <w:bCs/>
          <w:b/>
        </w:rPr>
        <w:t xml:space="preserve">Jeremy Stoppelman</w:t>
      </w:r>
      <w:r>
        <w:t xml:space="preserve">,</w:t>
      </w:r>
      <w:r>
        <w:t xml:space="preserve"> </w:t>
      </w:r>
      <w:r>
        <w:rPr>
          <w:bCs/>
          <w:b/>
        </w:rPr>
        <w:t xml:space="preserve">Chad Hurley</w:t>
      </w:r>
      <w:r>
        <w:t xml:space="preserve">,</w:t>
      </w:r>
      <w:r>
        <w:t xml:space="preserve"> </w:t>
      </w:r>
      <w:r>
        <w:rPr>
          <w:bCs/>
          <w:b/>
        </w:rPr>
        <w:t xml:space="preserve">Steve Chen</w:t>
      </w:r>
      <w:r>
        <w:t xml:space="preserve">,</w:t>
      </w:r>
      <w:r>
        <w:t xml:space="preserve"> </w:t>
      </w:r>
      <w:r>
        <w:rPr>
          <w:bCs/>
          <w:b/>
        </w:rPr>
        <w:t xml:space="preserve">Premal Shah</w:t>
      </w:r>
      <w:r>
        <w:t xml:space="preserve">,</w:t>
      </w:r>
      <w:r>
        <w:t xml:space="preserve"> </w:t>
      </w:r>
      <w:r>
        <w:rPr>
          <w:bCs/>
          <w:b/>
        </w:rPr>
        <w:t xml:space="preserve">Yishan Wong</w:t>
      </w:r>
      <w:r>
        <w:t xml:space="preserve">,</w:t>
      </w:r>
      <w:r>
        <w:t xml:space="preserve"> </w:t>
      </w:r>
      <w:r>
        <w:rPr>
          <w:bCs/>
          <w:b/>
        </w:rPr>
        <w:t xml:space="preserve">Dave McClure</w:t>
      </w:r>
      <w:r>
        <w:t xml:space="preserve">,</w:t>
      </w:r>
      <w:r>
        <w:t xml:space="preserve"> </w:t>
      </w:r>
      <w:r>
        <w:rPr>
          <w:bCs/>
          <w:b/>
        </w:rPr>
        <w:t xml:space="preserve">Jack Selby</w:t>
      </w:r>
      <w:r>
        <w:t xml:space="preserve">,</w:t>
      </w:r>
      <w:r>
        <w:t xml:space="preserve"> </w:t>
      </w:r>
      <w:r>
        <w:rPr>
          <w:bCs/>
          <w:b/>
        </w:rPr>
        <w:t xml:space="preserve">Andrew McCormack</w:t>
      </w:r>
      <w:r>
        <w:t xml:space="preserve">,</w:t>
      </w:r>
      <w:r>
        <w:t xml:space="preserve"> </w:t>
      </w:r>
      <w:r>
        <w:rPr>
          <w:bCs/>
          <w:b/>
        </w:rPr>
        <w:t xml:space="preserve">Eric M. Jackson</w:t>
      </w:r>
      <w:r>
        <w:t xml:space="preserve">,</w:t>
      </w:r>
      <w:r>
        <w:t xml:space="preserve"> </w:t>
      </w:r>
      <w:r>
        <w:rPr>
          <w:bCs/>
          <w:b/>
        </w:rPr>
        <w:t xml:space="preserve">Scott Banister</w:t>
      </w:r>
      <w:r>
        <w:t xml:space="preserve">,</w:t>
      </w:r>
      <w:r>
        <w:t xml:space="preserve"> </w:t>
      </w:r>
      <w:r>
        <w:rPr>
          <w:bCs/>
          <w:b/>
        </w:rPr>
        <w:t xml:space="preserve">Yu Pan</w:t>
      </w:r>
      <w:r>
        <w:t xml:space="preserve">,</w:t>
      </w:r>
      <w:r>
        <w:t xml:space="preserve"> </w:t>
      </w:r>
      <w:r>
        <w:rPr>
          <w:bCs/>
          <w:b/>
        </w:rPr>
        <w:t xml:space="preserve">Russel Simmons</w:t>
      </w:r>
      <w:r>
        <w:t xml:space="preserve">,</w:t>
      </w:r>
      <w:r>
        <w:t xml:space="preserve"> </w:t>
      </w:r>
      <w:r>
        <w:rPr>
          <w:bCs/>
          <w:b/>
        </w:rPr>
        <w:t xml:space="preserve">Vince Sollitto</w:t>
      </w:r>
      <w:r>
        <w:t xml:space="preserve">,</w:t>
      </w:r>
      <w:r>
        <w:t xml:space="preserve"> </w:t>
      </w:r>
      <w:r>
        <w:rPr>
          <w:bCs/>
          <w:b/>
        </w:rPr>
        <w:t xml:space="preserve">Sanjay Bhargava</w:t>
      </w:r>
      <w:r>
        <w:t xml:space="preserve">: categoria</w:t>
      </w:r>
      <w:r>
        <w:t xml:space="preserve"> </w:t>
      </w:r>
      <w:r>
        <w:rPr>
          <w:bCs/>
          <w:b/>
        </w:rPr>
        <w:t xml:space="preserve">C</w:t>
      </w:r>
      <w:r>
        <w:t xml:space="preserve"> </w:t>
      </w:r>
      <w:r>
        <w:t xml:space="preserve">per ciascuno. Origini statunitensi, taiwanesi-americane, indiane. Nessun legame con le reti descritte nel corpus di progetto.</w:t>
      </w:r>
    </w:p>
    <w:p>
      <w:pPr>
        <w:pStyle w:val="BodyText"/>
      </w:pPr>
      <w:r>
        <w:t xml:space="preserve">Il computo del censimento restituisce quattro nodi in categoria A per la biografia su un universo di ventidue nodi censiti, pari a una quota del diciotto per cento circa, e zero nodi in categoria A per affiliazione operativa alle reti del corpus.</w:t>
      </w:r>
    </w:p>
    <w:bookmarkEnd w:id="34"/>
    <w:bookmarkStart w:id="35" w:name="Xb884b41aef368ed02dc07ff57de10a136c030d7"/>
    <w:p>
      <w:pPr>
        <w:pStyle w:val="Heading2"/>
      </w:pPr>
      <w:r>
        <w:t xml:space="preserve">§ 3.4 — Nodi-persona del contesto sudafricano e namibiano</w:t>
      </w:r>
    </w:p>
    <w:p>
      <w:pPr>
        <w:pStyle w:val="FirstParagraph"/>
      </w:pPr>
      <w:r>
        <w:rPr>
          <w:bCs/>
          <w:b/>
        </w:rPr>
        <w:t xml:space="preserve">Klaus Thiel</w:t>
      </w:r>
      <w:r>
        <w:t xml:space="preserve">, ingegnere chimico e project manager minerario, padre di Peter Thiel. Categoria A. Impiegato nella costruzione della miniera di uranio di Rössing in Namibia. È il nodo che realizza materialmente l’aggancio fra il cluster PayPal e l’infrastruttura estrattiva del regime dell’apartheid. Si segnala come</w:t>
      </w:r>
      <w:r>
        <w:t xml:space="preserve"> </w:t>
      </w:r>
      <w:r>
        <w:rPr>
          <w:bCs/>
          <w:b/>
        </w:rPr>
        <w:t xml:space="preserve">lacuna prioritaria</w:t>
      </w:r>
      <w:r>
        <w:t xml:space="preserve"> </w:t>
      </w:r>
      <w:r>
        <w:t xml:space="preserve">l’assenza di documentazione puntuale su ruolo esatto, datazione precisa dell’incarico e catena gerarchica di riporto.</w:t>
      </w:r>
    </w:p>
    <w:p>
      <w:pPr>
        <w:pStyle w:val="BodyText"/>
      </w:pPr>
      <w:r>
        <w:rPr>
          <w:bCs/>
          <w:b/>
        </w:rPr>
        <w:t xml:space="preserve">Joshua Norman Haldeman</w:t>
      </w:r>
      <w:r>
        <w:t xml:space="preserve"> </w:t>
      </w:r>
      <w:r>
        <w:t xml:space="preserve">(1902-1974), nonno materno di Elon Musk. Categoria A per il profilo. Figura di spicco del movimento Technocracy in Canada, arrestato durante il conflitto mondiale per attività ostili allo sforzo bellico; emigrato in Sudafrica nel 1950 in dichiarato sostegno al nuovo governo dell’apartheid; propagatore di teorie del complotto antisemite, inclusa la diffusione dei</w:t>
      </w:r>
      <w:r>
        <w:t xml:space="preserve"> </w:t>
      </w:r>
      <w:r>
        <w:rPr>
          <w:iCs/>
          <w:i/>
        </w:rPr>
        <w:t xml:space="preserve">Protocolli dei Savi di Sion</w:t>
      </w:r>
      <w:r>
        <w:t xml:space="preserve">.</w:t>
      </w:r>
      <w:r>
        <w:t xml:space="preserve"> </w:t>
      </w:r>
      <w:r>
        <w:rPr>
          <w:bCs/>
          <w:b/>
        </w:rPr>
        <w:t xml:space="preserve">Rigore obbligatorio</w:t>
      </w:r>
      <w:r>
        <w:t xml:space="preserve">: né Jill Lepore né la verifica indipendente di Snopes del 29 gennaio 2025 documentano alcuna affiliazione al partito nazionalsocialista. La qualificazione registrabile è quella di antisemita filo-apartheid e teorico del complotto, non quella di nazista affiliato.</w:t>
      </w:r>
    </w:p>
    <w:p>
      <w:pPr>
        <w:pStyle w:val="BodyText"/>
      </w:pPr>
      <w:r>
        <w:rPr>
          <w:bCs/>
          <w:b/>
        </w:rPr>
        <w:t xml:space="preserve">Errol Musk</w:t>
      </w:r>
      <w:r>
        <w:t xml:space="preserve">, padre di Elon Musk. Categoria B. La vicenda della partecipazione in smeraldi riguarda lo Zambia e non il Sudafrica, è contestata nella sostanza, è negata dal figlio, ed è descritta dal biografo Isaacson come uno scambio fra un aeromobile e una partita di pietre, non come titolarità formale di una concessione mineraria.</w:t>
      </w:r>
    </w:p>
    <w:p>
      <w:pPr>
        <w:pStyle w:val="BodyText"/>
      </w:pPr>
      <w:r>
        <w:rPr>
          <w:bCs/>
          <w:b/>
        </w:rPr>
        <w:t xml:space="preserve">Roelof Frederik</w:t>
      </w:r>
      <w:r>
        <w:rPr>
          <w:bCs/>
          <w:b/>
        </w:rPr>
        <w:t xml:space="preserve"> </w:t>
      </w:r>
      <w:r>
        <w:rPr>
          <w:bCs/>
          <w:b/>
        </w:rPr>
        <w:t xml:space="preserve">“</w:t>
      </w:r>
      <w:r>
        <w:rPr>
          <w:bCs/>
          <w:b/>
        </w:rPr>
        <w:t xml:space="preserve">Pik</w:t>
      </w:r>
      <w:r>
        <w:rPr>
          <w:bCs/>
          <w:b/>
        </w:rPr>
        <w:t xml:space="preserve">”</w:t>
      </w:r>
      <w:r>
        <w:rPr>
          <w:bCs/>
          <w:b/>
        </w:rPr>
        <w:t xml:space="preserve"> </w:t>
      </w:r>
      <w:r>
        <w:rPr>
          <w:bCs/>
          <w:b/>
        </w:rPr>
        <w:t xml:space="preserve">Botha</w:t>
      </w:r>
      <w:r>
        <w:t xml:space="preserve"> </w:t>
      </w:r>
      <w:r>
        <w:t xml:space="preserve">(27 aprile 1932 – 12 ottobre 2018), ministro degli esteri del Sudafrica dell’apartheid dal 27 aprile 1977 al 10 maggio 1994, per una durata di mandato indicata dalle agenzie come primato mondiale nella comunità diplomatica. Categoria A per la carica e per il ruolo negoziale. Guidò il negoziato sulla Namibia culminato negli Accordi di New York del 22 dicembre 1988, che legarono il ritiro di circa cinquantamila militari cubani dall’Angola all’attuazione della Risoluzione ONU 435 sull’indipendenza namibiana. Sovrintese al dicastero all’interno del quale operava l’unità di violazione delle sanzioni.</w:t>
      </w:r>
      <w:r>
        <w:t xml:space="preserve"> </w:t>
      </w:r>
      <w:r>
        <w:rPr>
          <w:bCs/>
          <w:b/>
        </w:rPr>
        <w:t xml:space="preserve">Rigore obbligatorio</w:t>
      </w:r>
      <w:r>
        <w:t xml:space="preserve">: le accuse di Craig Williamson secondo cui Botha avrebbe gestito la totalità degli accordi sulle armi con la Francia sono contestate e furono da lui negate; vanno trattate come non provate. L’inclusione del suo nome fra i partecipanti a Le Cercle è attestata unicamente da fonte wiki auto-pubblicata e non corroborata: si classifica</w:t>
      </w:r>
      <w:r>
        <w:t xml:space="preserve"> </w:t>
      </w:r>
      <w:r>
        <w:rPr>
          <w:bCs/>
          <w:b/>
        </w:rPr>
        <w:t xml:space="preserve">Livello C</w:t>
      </w:r>
      <w:r>
        <w:t xml:space="preserve"> </w:t>
      </w:r>
      <w:r>
        <w:t xml:space="preserve">e si segnala come da non utilizzare in sede narrativa senza ulteriore riscontro.</w:t>
      </w:r>
    </w:p>
    <w:p>
      <w:pPr>
        <w:pStyle w:val="BodyText"/>
      </w:pPr>
      <w:r>
        <w:rPr>
          <w:bCs/>
          <w:b/>
        </w:rPr>
        <w:t xml:space="preserve">Craig Williamson</w:t>
      </w:r>
      <w:r>
        <w:t xml:space="preserve">, ex agente sudafricano, fonte delle accuse contestate di cui sopra. Categoria B come nodo-fonte controverso.</w:t>
      </w:r>
    </w:p>
    <w:p>
      <w:pPr>
        <w:pStyle w:val="BodyText"/>
      </w:pPr>
      <w:r>
        <w:rPr>
          <w:bCs/>
          <w:b/>
        </w:rPr>
        <w:t xml:space="preserve">Frederik Willem de Klerk</w:t>
      </w:r>
      <w:r>
        <w:t xml:space="preserve">, in quanto istitutore nel 1991 della Commissione Khan sui progetti segreti del regime. Categoria A.</w:t>
      </w:r>
    </w:p>
    <w:p>
      <w:pPr>
        <w:pStyle w:val="BodyText"/>
      </w:pPr>
      <w:r>
        <w:rPr>
          <w:bCs/>
          <w:b/>
        </w:rPr>
        <w:t xml:space="preserve">Anton Rupert</w:t>
      </w:r>
      <w:r>
        <w:t xml:space="preserve"> </w:t>
      </w:r>
      <w:r>
        <w:t xml:space="preserve">(gruppo Rembrandt) e</w:t>
      </w:r>
      <w:r>
        <w:t xml:space="preserve"> </w:t>
      </w:r>
      <w:r>
        <w:rPr>
          <w:bCs/>
          <w:b/>
        </w:rPr>
        <w:t xml:space="preserve">Gavin Relly</w:t>
      </w:r>
      <w:r>
        <w:t xml:space="preserve"> </w:t>
      </w:r>
      <w:r>
        <w:t xml:space="preserve">(Anglo American): uomini d’affari sudafricani documentati nel contesto delle relazioni con Le Cercle. Categoria B.</w:t>
      </w:r>
    </w:p>
    <w:p>
      <w:pPr>
        <w:pStyle w:val="BodyText"/>
      </w:pPr>
      <w:r>
        <w:rPr>
          <w:bCs/>
          <w:b/>
        </w:rPr>
        <w:t xml:space="preserve">Harold Taswell</w:t>
      </w:r>
      <w:r>
        <w:t xml:space="preserve">, ambasciatore sudafricano, e il</w:t>
      </w:r>
      <w:r>
        <w:t xml:space="preserve"> </w:t>
      </w:r>
      <w:r>
        <w:rPr>
          <w:bCs/>
          <w:b/>
        </w:rPr>
        <w:t xml:space="preserve">generale CA Fraser</w:t>
      </w:r>
      <w:r>
        <w:t xml:space="preserve">, capo dell’esercito, ospite ufficiale della riunione di Stellenbosch del gennaio 1984. Categoria A per la partecipazione documentata.</w:t>
      </w:r>
    </w:p>
    <w:p>
      <w:pPr>
        <w:pStyle w:val="BodyText"/>
      </w:pPr>
      <w:r>
        <w:rPr>
          <w:bCs/>
          <w:b/>
        </w:rPr>
        <w:t xml:space="preserve">Marc Burger</w:t>
      </w:r>
      <w:r>
        <w:t xml:space="preserve">, diplomatico indicato dall’inchiesta Open Secrets come responsabile dell’unità di violazione delle sanzioni del Dipartimento degli Esteri. Categoria B.</w:t>
      </w:r>
    </w:p>
    <w:p>
      <w:pPr>
        <w:pStyle w:val="BodyText"/>
      </w:pPr>
      <w:r>
        <w:rPr>
          <w:bCs/>
          <w:b/>
        </w:rPr>
        <w:t xml:space="preserve">Hennie van Vuuren</w:t>
      </w:r>
      <w:r>
        <w:t xml:space="preserve">, ricercatore, autore di</w:t>
      </w:r>
      <w:r>
        <w:t xml:space="preserve"> </w:t>
      </w:r>
      <w:r>
        <w:rPr>
          <w:iCs/>
          <w:i/>
        </w:rPr>
        <w:t xml:space="preserve">Apartheid, Guns and Money</w:t>
      </w:r>
      <w:r>
        <w:t xml:space="preserve"> </w:t>
      </w:r>
      <w:r>
        <w:t xml:space="preserve">(2017). Categoria A come nodo-fonte primario. È l’autore della documentazione archivistica sul finanziamento sudafricano di Le Cercle.</w:t>
      </w:r>
    </w:p>
    <w:bookmarkEnd w:id="35"/>
    <w:bookmarkStart w:id="36" w:name="nodi-persona-della-rete-le-cercle"/>
    <w:p>
      <w:pPr>
        <w:pStyle w:val="Heading2"/>
      </w:pPr>
      <w:r>
        <w:t xml:space="preserve">§ 3.5 — Nodi-persona della rete Le Cercle</w:t>
      </w:r>
    </w:p>
    <w:p>
      <w:pPr>
        <w:pStyle w:val="FirstParagraph"/>
      </w:pPr>
      <w:r>
        <w:rPr>
          <w:bCs/>
          <w:b/>
        </w:rPr>
        <w:t xml:space="preserve">Antoine Pinay</w:t>
      </w:r>
      <w:r>
        <w:t xml:space="preserve"> </w:t>
      </w:r>
      <w:r>
        <w:t xml:space="preserve">e</w:t>
      </w:r>
      <w:r>
        <w:t xml:space="preserve"> </w:t>
      </w:r>
      <w:r>
        <w:rPr>
          <w:bCs/>
          <w:b/>
        </w:rPr>
        <w:t xml:space="preserve">Jean Violet</w:t>
      </w:r>
      <w:r>
        <w:t xml:space="preserve">, fondatori del forum negli anni Cinquanta.</w:t>
      </w:r>
      <w:r>
        <w:t xml:space="preserve"> </w:t>
      </w:r>
      <w:r>
        <w:rPr>
          <w:bCs/>
          <w:b/>
        </w:rPr>
        <w:t xml:space="preserve">Konrad Adenauer</w:t>
      </w:r>
      <w:r>
        <w:t xml:space="preserve"> </w:t>
      </w:r>
      <w:r>
        <w:t xml:space="preserve">e</w:t>
      </w:r>
      <w:r>
        <w:t xml:space="preserve"> </w:t>
      </w:r>
      <w:r>
        <w:rPr>
          <w:bCs/>
          <w:b/>
        </w:rPr>
        <w:t xml:space="preserve">Franz Josef Strauss</w:t>
      </w:r>
      <w:r>
        <w:t xml:space="preserve">, cofondatori.</w:t>
      </w:r>
      <w:r>
        <w:t xml:space="preserve"> </w:t>
      </w:r>
      <w:r>
        <w:rPr>
          <w:bCs/>
          <w:b/>
        </w:rPr>
        <w:t xml:space="preserve">Julian Amery</w:t>
      </w:r>
      <w:r>
        <w:t xml:space="preserve">, conservatore britannico, indicato da Open Secrets come chairman e figura di riferimento nel periodo di sostegno all’apartheid. Categoria A per il ruolo. Questi nodi costituiscono il punto di aggancio del corpus di sessione con la famiglia documentale Il Triangolo Sudafrica-Namibia, Le Cercle e Ordre et Tradition già residente nella cartella di progetto.</w:t>
      </w:r>
    </w:p>
    <w:bookmarkEnd w:id="36"/>
    <w:bookmarkStart w:id="37" w:name="Xe70861948745e0706a5dbf4119957ee6b2fb83d"/>
    <w:p>
      <w:pPr>
        <w:pStyle w:val="Heading2"/>
      </w:pPr>
      <w:r>
        <w:t xml:space="preserve">§ 3.6 — Nodi-persona della rete eversiva del corpus di progetto: verifica di non-connessione</w:t>
      </w:r>
    </w:p>
    <w:p>
      <w:pPr>
        <w:pStyle w:val="FirstParagraph"/>
      </w:pPr>
      <w:r>
        <w:t xml:space="preserve">Si registrano in Stato Zero i seguenti nodi, per i quali la ricerca sistematica di collegamenti con l’universo PayPal ha prodotto esito integralmente negativo.</w:t>
      </w:r>
    </w:p>
    <w:p>
      <w:pPr>
        <w:pStyle w:val="BodyText"/>
      </w:pPr>
      <w:r>
        <w:rPr>
          <w:bCs/>
          <w:b/>
        </w:rPr>
        <w:t xml:space="preserve">Yves Guérin-Sérac</w:t>
      </w:r>
      <w:r>
        <w:t xml:space="preserve">, fondatore di Aginter Press, hub controrivoluzionario di Lisbona operante fra il 1966 e il 1974, con matrice OAS e raccordo con la PIDE portoghese.</w:t>
      </w:r>
      <w:r>
        <w:t xml:space="preserve"> </w:t>
      </w:r>
      <w:r>
        <w:rPr>
          <w:bCs/>
          <w:b/>
        </w:rPr>
        <w:t xml:space="preserve">Stato Zero</w:t>
      </w:r>
      <w:r>
        <w:t xml:space="preserve">: nessuna connessione con alcun membro della PayPal Mafia.</w:t>
      </w:r>
    </w:p>
    <w:p>
      <w:pPr>
        <w:pStyle w:val="BodyText"/>
      </w:pPr>
      <w:r>
        <w:rPr>
          <w:bCs/>
          <w:b/>
        </w:rPr>
        <w:t xml:space="preserve">Stefano Delle Chiaie</w:t>
      </w:r>
      <w:r>
        <w:t xml:space="preserve">, Avanguardia Nazionale.</w:t>
      </w:r>
      <w:r>
        <w:t xml:space="preserve"> </w:t>
      </w:r>
      <w:r>
        <w:rPr>
          <w:bCs/>
          <w:b/>
        </w:rPr>
        <w:t xml:space="preserve">Stato Zero</w:t>
      </w:r>
      <w:r>
        <w:t xml:space="preserve">.</w:t>
      </w:r>
    </w:p>
    <w:p>
      <w:pPr>
        <w:pStyle w:val="BodyText"/>
      </w:pPr>
      <w:r>
        <w:rPr>
          <w:bCs/>
          <w:b/>
        </w:rPr>
        <w:t xml:space="preserve">Jean Thiriart</w:t>
      </w:r>
      <w:r>
        <w:t xml:space="preserve">, Jeune Europe, matrice dell’eurasiatismo successivo.</w:t>
      </w:r>
      <w:r>
        <w:t xml:space="preserve"> </w:t>
      </w:r>
      <w:r>
        <w:rPr>
          <w:bCs/>
          <w:b/>
        </w:rPr>
        <w:t xml:space="preserve">Stato Zero</w:t>
      </w:r>
      <w:r>
        <w:t xml:space="preserve">.</w:t>
      </w:r>
    </w:p>
    <w:p>
      <w:pPr>
        <w:pStyle w:val="BodyText"/>
      </w:pPr>
      <w:r>
        <w:t xml:space="preserve">Gli scienziati censiti nella lista NARA dei Foreign Scientist Case Files 1945-1958, Record Group 330, collocazione 230/86/46/05, centottantasei scatole, oltre millecinquecento nominativi, fra cui</w:t>
      </w:r>
      <w:r>
        <w:t xml:space="preserve"> </w:t>
      </w:r>
      <w:r>
        <w:rPr>
          <w:bCs/>
          <w:b/>
        </w:rPr>
        <w:t xml:space="preserve">Magnus von Braun</w:t>
      </w:r>
      <w:r>
        <w:t xml:space="preserve">,</w:t>
      </w:r>
      <w:r>
        <w:t xml:space="preserve"> </w:t>
      </w:r>
      <w:r>
        <w:rPr>
          <w:bCs/>
          <w:b/>
        </w:rPr>
        <w:t xml:space="preserve">Kurt Debus</w:t>
      </w:r>
      <w:r>
        <w:t xml:space="preserve">,</w:t>
      </w:r>
      <w:r>
        <w:t xml:space="preserve"> </w:t>
      </w:r>
      <w:r>
        <w:rPr>
          <w:bCs/>
          <w:b/>
        </w:rPr>
        <w:t xml:space="preserve">Walter Dornberger</w:t>
      </w:r>
      <w:r>
        <w:t xml:space="preserve">,</w:t>
      </w:r>
      <w:r>
        <w:t xml:space="preserve"> </w:t>
      </w:r>
      <w:r>
        <w:rPr>
          <w:bCs/>
          <w:b/>
        </w:rPr>
        <w:t xml:space="preserve">Arthur Rudolph</w:t>
      </w:r>
      <w:r>
        <w:t xml:space="preserve">,</w:t>
      </w:r>
      <w:r>
        <w:t xml:space="preserve"> </w:t>
      </w:r>
      <w:r>
        <w:rPr>
          <w:bCs/>
          <w:b/>
        </w:rPr>
        <w:t xml:space="preserve">Kurt Blome</w:t>
      </w:r>
      <w:r>
        <w:t xml:space="preserve">,</w:t>
      </w:r>
      <w:r>
        <w:t xml:space="preserve"> </w:t>
      </w:r>
      <w:r>
        <w:rPr>
          <w:bCs/>
          <w:b/>
        </w:rPr>
        <w:t xml:space="preserve">Hubertus Strughold</w:t>
      </w:r>
      <w:r>
        <w:t xml:space="preserve">,</w:t>
      </w:r>
      <w:r>
        <w:t xml:space="preserve"> </w:t>
      </w:r>
      <w:r>
        <w:rPr>
          <w:bCs/>
          <w:b/>
        </w:rPr>
        <w:t xml:space="preserve">Erich Traub</w:t>
      </w:r>
      <w:r>
        <w:t xml:space="preserve"> </w:t>
      </w:r>
      <w:r>
        <w:t xml:space="preserve">ed</w:t>
      </w:r>
      <w:r>
        <w:t xml:space="preserve"> </w:t>
      </w:r>
      <w:r>
        <w:rPr>
          <w:bCs/>
          <w:b/>
        </w:rPr>
        <w:t xml:space="preserve">Edward Teller</w:t>
      </w:r>
      <w:r>
        <w:t xml:space="preserve">.</w:t>
      </w:r>
      <w:r>
        <w:t xml:space="preserve"> </w:t>
      </w:r>
      <w:r>
        <w:rPr>
          <w:bCs/>
          <w:b/>
        </w:rPr>
        <w:t xml:space="preserve">Stato Zero</w:t>
      </w:r>
      <w:r>
        <w:t xml:space="preserve"> </w:t>
      </w:r>
      <w:r>
        <w:t xml:space="preserve">per la totalità. Si registra e si neutralizza la coincidenza onomastica: cognomi presenti nella lista quali Rudolph, Tamm e Teller non hanno alcuna relazione genealogica documentata con membri della PayPal Mafia, e il cognome Thiel non compare in posizione rilevante. In assenza di prova genealogica, la coincidenza onomastica ha valore probatorio nullo e viene registrata esclusivamente per impedirne l’uso improprio.</w:t>
      </w:r>
    </w:p>
    <w:bookmarkEnd w:id="37"/>
    <w:bookmarkStart w:id="38" w:name="X631ead9ec09e968f773d020b76319d35a594c23"/>
    <w:p>
      <w:pPr>
        <w:pStyle w:val="Heading2"/>
      </w:pPr>
      <w:r>
        <w:t xml:space="preserve">§ 3.7 — Nodi-persona del contesto ideologico contemporaneo</w:t>
      </w:r>
    </w:p>
    <w:p>
      <w:pPr>
        <w:pStyle w:val="FirstParagraph"/>
      </w:pPr>
      <w:r>
        <w:rPr>
          <w:bCs/>
          <w:b/>
        </w:rPr>
        <w:t xml:space="preserve">Curtis Yarvin</w:t>
      </w:r>
      <w:r>
        <w:t xml:space="preserve">, ideologo del movimento neoreazionario, fondatore delle iniziative Urbit e Tlon, nelle quali Founders Fund ha investito in fase iniziale. Categoria A per il rapporto di investimento. Categoria C per qualsiasi relazione con le reti storiche del corpus.</w:t>
      </w:r>
    </w:p>
    <w:p>
      <w:pPr>
        <w:pStyle w:val="BodyText"/>
      </w:pPr>
      <w:r>
        <w:rPr>
          <w:bCs/>
          <w:b/>
        </w:rPr>
        <w:t xml:space="preserve">Javier Milei</w:t>
      </w:r>
      <w:r>
        <w:t xml:space="preserve">, presidente argentino, indicato come riferimento di affinità nel contesto del trasferimento di Thiel a Buenos Aires nel 2025. Categoria B.</w:t>
      </w:r>
    </w:p>
    <w:p>
      <w:pPr>
        <w:pStyle w:val="BodyText"/>
      </w:pPr>
      <w:r>
        <w:rPr>
          <w:bCs/>
          <w:b/>
        </w:rPr>
        <w:t xml:space="preserve">Max Chafkin</w:t>
      </w:r>
      <w:r>
        <w:t xml:space="preserve">,</w:t>
      </w:r>
      <w:r>
        <w:t xml:space="preserve"> </w:t>
      </w:r>
      <w:r>
        <w:rPr>
          <w:bCs/>
          <w:b/>
        </w:rPr>
        <w:t xml:space="preserve">Chris McGreal</w:t>
      </w:r>
      <w:r>
        <w:t xml:space="preserve">,</w:t>
      </w:r>
      <w:r>
        <w:t xml:space="preserve"> </w:t>
      </w:r>
      <w:r>
        <w:rPr>
          <w:bCs/>
          <w:b/>
        </w:rPr>
        <w:t xml:space="preserve">Jill Lepore</w:t>
      </w:r>
      <w:r>
        <w:t xml:space="preserve">,</w:t>
      </w:r>
      <w:r>
        <w:t xml:space="preserve"> </w:t>
      </w:r>
      <w:r>
        <w:rPr>
          <w:bCs/>
          <w:b/>
        </w:rPr>
        <w:t xml:space="preserve">Joshua Benton</w:t>
      </w:r>
      <w:r>
        <w:t xml:space="preserve">,</w:t>
      </w:r>
      <w:r>
        <w:t xml:space="preserve"> </w:t>
      </w:r>
      <w:r>
        <w:rPr>
          <w:bCs/>
          <w:b/>
        </w:rPr>
        <w:t xml:space="preserve">Walter Isaacson</w:t>
      </w:r>
      <w:r>
        <w:t xml:space="preserve">: nodi-fonte di rango giornalistico ed editoriale consolidato, registrati per tracciabilità. Categoria A come fonti.</w:t>
      </w:r>
    </w:p>
    <w:p>
      <w:r>
        <w:pict>
          <v:rect style="width:0;height:1.5pt" o:hralign="center" o:hrstd="t" o:hr="t"/>
        </w:pict>
      </w:r>
    </w:p>
    <w:bookmarkEnd w:id="38"/>
    <w:bookmarkEnd w:id="39"/>
    <w:bookmarkStart w:id="44" w:name="Xe398a3a40515dd27eac4595b3ab36cb6705845b"/>
    <w:p>
      <w:pPr>
        <w:pStyle w:val="Heading1"/>
      </w:pPr>
      <w:r>
        <w:t xml:space="preserve">PARTE IV — CATALOGO DEI NODI-ORGANIZZAZIONE</w:t>
      </w:r>
    </w:p>
    <w:bookmarkStart w:id="40" w:name="organizzazioni-del-cluster-tecnologico"/>
    <w:p>
      <w:pPr>
        <w:pStyle w:val="Heading2"/>
      </w:pPr>
      <w:r>
        <w:t xml:space="preserve">§ 4.1 — Organizzazioni del cluster tecnologico</w:t>
      </w:r>
    </w:p>
    <w:p>
      <w:pPr>
        <w:pStyle w:val="FirstParagraph"/>
      </w:pPr>
      <w:r>
        <w:rPr>
          <w:bCs/>
          <w:b/>
        </w:rPr>
        <w:t xml:space="preserve">Confinity</w:t>
      </w:r>
      <w:r>
        <w:t xml:space="preserve">,</w:t>
      </w:r>
      <w:r>
        <w:t xml:space="preserve"> </w:t>
      </w:r>
      <w:r>
        <w:rPr>
          <w:bCs/>
          <w:b/>
        </w:rPr>
        <w:t xml:space="preserve">X.com</w:t>
      </w:r>
      <w:r>
        <w:t xml:space="preserve"> </w:t>
      </w:r>
      <w:r>
        <w:t xml:space="preserve">e</w:t>
      </w:r>
      <w:r>
        <w:t xml:space="preserve"> </w:t>
      </w:r>
      <w:r>
        <w:rPr>
          <w:bCs/>
          <w:b/>
        </w:rPr>
        <w:t xml:space="preserve">PayPal</w:t>
      </w:r>
      <w:r>
        <w:t xml:space="preserve">: entità di origine del cluster, D6.</w:t>
      </w:r>
      <w:r>
        <w:t xml:space="preserve"> </w:t>
      </w:r>
      <w:r>
        <w:rPr>
          <w:bCs/>
          <w:b/>
        </w:rPr>
        <w:t xml:space="preserve">Founders Fund</w:t>
      </w:r>
      <w:r>
        <w:t xml:space="preserve">: veicolo di investimento di Thiel, D6, con archi verso D2 in ragione dell’attività di finanziamento politico e verso l’ecosistema neoreazionario.</w:t>
      </w:r>
      <w:r>
        <w:t xml:space="preserve"> </w:t>
      </w:r>
      <w:r>
        <w:rPr>
          <w:bCs/>
          <w:b/>
        </w:rPr>
        <w:t xml:space="preserve">Sequoia Capital</w:t>
      </w:r>
      <w:r>
        <w:t xml:space="preserve">: veicolo di Roelof Botha, D6.</w:t>
      </w:r>
      <w:r>
        <w:t xml:space="preserve"> </w:t>
      </w:r>
      <w:r>
        <w:rPr>
          <w:bCs/>
          <w:b/>
        </w:rPr>
        <w:t xml:space="preserve">Urbit</w:t>
      </w:r>
      <w:r>
        <w:t xml:space="preserve"> </w:t>
      </w:r>
      <w:r>
        <w:t xml:space="preserve">e</w:t>
      </w:r>
      <w:r>
        <w:t xml:space="preserve"> </w:t>
      </w:r>
      <w:r>
        <w:rPr>
          <w:bCs/>
          <w:b/>
        </w:rPr>
        <w:t xml:space="preserve">Tlon</w:t>
      </w:r>
      <w:r>
        <w:t xml:space="preserve">: entità di Yarvin, oggetto di investimento iniziale, D6 con proiezione ideologica.</w:t>
      </w:r>
    </w:p>
    <w:p>
      <w:pPr>
        <w:pStyle w:val="BodyText"/>
      </w:pPr>
      <w:r>
        <w:rPr>
          <w:bCs/>
          <w:b/>
        </w:rPr>
        <w:t xml:space="preserve">Dialog</w:t>
      </w:r>
      <w:r>
        <w:t xml:space="preserve">: forum di élite fondato da Thiel nel 2006. Si registra con la massima nettezza, in funzione di sbarramento contro un errore di identificazione ricorrente, che</w:t>
      </w:r>
      <w:r>
        <w:t xml:space="preserve"> </w:t>
      </w:r>
      <w:r>
        <w:rPr>
          <w:bCs/>
          <w:b/>
        </w:rPr>
        <w:t xml:space="preserve">Dialog non è Le Cercle</w:t>
      </w:r>
      <w:r>
        <w:t xml:space="preserve"> </w:t>
      </w:r>
      <w:r>
        <w:t xml:space="preserve">e non ha con esso alcuna relazione documentata. Le due entità sono distinte per fondazione, composizione, cronologia e finalità. Qualsiasi narrazione che le assimili è priva di fondamento. Registrazione:</w:t>
      </w:r>
      <w:r>
        <w:t xml:space="preserve"> </w:t>
      </w:r>
      <w:r>
        <w:rPr>
          <w:bCs/>
          <w:b/>
        </w:rPr>
        <w:t xml:space="preserve">Stato Zero sull’arco Dialog–Le Cercle</w:t>
      </w:r>
      <w:r>
        <w:t xml:space="preserve">.</w:t>
      </w:r>
    </w:p>
    <w:p>
      <w:pPr>
        <w:pStyle w:val="BodyText"/>
      </w:pPr>
      <w:r>
        <w:rPr>
          <w:bCs/>
          <w:b/>
        </w:rPr>
        <w:t xml:space="preserve">Cato Unbound</w:t>
      </w:r>
      <w:r>
        <w:t xml:space="preserve">: sede editoriale del saggio</w:t>
      </w:r>
      <w:r>
        <w:t xml:space="preserve"> </w:t>
      </w:r>
      <w:r>
        <w:rPr>
          <w:iCs/>
          <w:i/>
        </w:rPr>
        <w:t xml:space="preserve">The Education of a Libertarian</w:t>
      </w:r>
      <w:r>
        <w:t xml:space="preserve"> </w:t>
      </w:r>
      <w:r>
        <w:t xml:space="preserve">del 13 aprile 2009, nel quale Thiel afferma di non credere più nella compatibilità fra libertà e democrazia e collega la trasformazione della democrazia capitalista in ossimoro all’estensione del suffragio femminile e all’incremento dei beneficiari del welfare dal 1920. Il documento è registrato come</w:t>
      </w:r>
      <w:r>
        <w:t xml:space="preserve"> </w:t>
      </w:r>
      <w:r>
        <w:rPr>
          <w:bCs/>
          <w:b/>
        </w:rPr>
        <w:t xml:space="preserve">nodo-testo di Livello A</w:t>
      </w:r>
      <w:r>
        <w:t xml:space="preserve"> </w:t>
      </w:r>
      <w:r>
        <w:t xml:space="preserve">e costituisce il principale riscontro documentale dell’orientamento antidemocratico dichiarato del nodo.</w:t>
      </w:r>
    </w:p>
    <w:bookmarkEnd w:id="40"/>
    <w:bookmarkStart w:id="41" w:name="Xb5246ab375d40f3ec8d9689d8dc8a7326e1465d"/>
    <w:p>
      <w:pPr>
        <w:pStyle w:val="Heading2"/>
      </w:pPr>
      <w:r>
        <w:t xml:space="preserve">§ 4.2 — Organizzazioni dell’infrastruttura estrattiva e nucleare</w:t>
      </w:r>
    </w:p>
    <w:p>
      <w:pPr>
        <w:pStyle w:val="FirstParagraph"/>
      </w:pPr>
      <w:r>
        <w:rPr>
          <w:bCs/>
          <w:b/>
        </w:rPr>
        <w:t xml:space="preserve">Rössing Uranium</w:t>
      </w:r>
      <w:r>
        <w:t xml:space="preserve">, miniera a cielo aperto in Namibia, aperta nel 1976, indicata dall’Encyclopædia Britannica come la più estesa del suo genere al mondo. Assetto proprietario documentato:</w:t>
      </w:r>
      <w:r>
        <w:t xml:space="preserve"> </w:t>
      </w:r>
      <w:r>
        <w:rPr>
          <w:bCs/>
          <w:b/>
        </w:rPr>
        <w:t xml:space="preserve">Rio Tinto</w:t>
      </w:r>
      <w:r>
        <w:t xml:space="preserve"> </w:t>
      </w:r>
      <w:r>
        <w:t xml:space="preserve">al 68,6 per cento;</w:t>
      </w:r>
      <w:r>
        <w:t xml:space="preserve"> </w:t>
      </w:r>
      <w:r>
        <w:rPr>
          <w:bCs/>
          <w:b/>
        </w:rPr>
        <w:t xml:space="preserve">Iranian Foreign Investment Company</w:t>
      </w:r>
      <w:r>
        <w:t xml:space="preserve"> </w:t>
      </w:r>
      <w:r>
        <w:t xml:space="preserve">al 15 per cento;</w:t>
      </w:r>
      <w:r>
        <w:t xml:space="preserve"> </w:t>
      </w:r>
      <w:r>
        <w:rPr>
          <w:bCs/>
          <w:b/>
        </w:rPr>
        <w:t xml:space="preserve">Industrial Development Corporation</w:t>
      </w:r>
      <w:r>
        <w:t xml:space="preserve"> </w:t>
      </w:r>
      <w:r>
        <w:t xml:space="preserve">del Sudafrica al 10 per cento; governo namibiano al 3 per cento. Operò in violazione del Decreto numero 1 del</w:t>
      </w:r>
      <w:r>
        <w:t xml:space="preserve"> </w:t>
      </w:r>
      <w:r>
        <w:rPr>
          <w:bCs/>
          <w:b/>
        </w:rPr>
        <w:t xml:space="preserve">Consiglio delle Nazioni Unite per la Namibia</w:t>
      </w:r>
      <w:r>
        <w:t xml:space="preserve">. Domini: D6 economia, con proiezione D9 in ragione della destinazione strategica del minerale e D2 in ragione del contenzioso internazionale.</w:t>
      </w:r>
    </w:p>
    <w:p>
      <w:pPr>
        <w:pStyle w:val="BodyText"/>
      </w:pPr>
      <w:r>
        <w:rPr>
          <w:bCs/>
          <w:b/>
        </w:rPr>
        <w:t xml:space="preserve">URENCO</w:t>
      </w:r>
      <w:r>
        <w:t xml:space="preserve">, consorzio di arricchimento anglo-olandese-tedesco-occidentale con impianti a</w:t>
      </w:r>
      <w:r>
        <w:t xml:space="preserve"> </w:t>
      </w:r>
      <w:r>
        <w:rPr>
          <w:bCs/>
          <w:b/>
        </w:rPr>
        <w:t xml:space="preserve">Capenhurst</w:t>
      </w:r>
      <w:r>
        <w:t xml:space="preserve">,</w:t>
      </w:r>
      <w:r>
        <w:t xml:space="preserve"> </w:t>
      </w:r>
      <w:r>
        <w:rPr>
          <w:bCs/>
          <w:b/>
        </w:rPr>
        <w:t xml:space="preserve">Almelo</w:t>
      </w:r>
      <w:r>
        <w:t xml:space="preserve"> </w:t>
      </w:r>
      <w:r>
        <w:t xml:space="preserve">e</w:t>
      </w:r>
      <w:r>
        <w:t xml:space="preserve"> </w:t>
      </w:r>
      <w:r>
        <w:rPr>
          <w:bCs/>
          <w:b/>
        </w:rPr>
        <w:t xml:space="preserve">Gronau</w:t>
      </w:r>
      <w:r>
        <w:t xml:space="preserve">, convenuto in giudizio nel 1985 dal Consiglio delle Nazioni Unite per la Namibia per l’importazione di uranio di Rössing. Nodo di raccordo con la famiglia documentale sulla cooperazione nucleare fra Germania e Sudafrica dell’apartheid già residente in cartella.</w:t>
      </w:r>
    </w:p>
    <w:bookmarkEnd w:id="41"/>
    <w:bookmarkStart w:id="42" w:name="X8f0d595e7d38632ae858a9f580f9fb79802241a"/>
    <w:p>
      <w:pPr>
        <w:pStyle w:val="Heading2"/>
      </w:pPr>
      <w:r>
        <w:t xml:space="preserve">§ 4.3 — Organizzazioni del regime dell’apartheid e delle sue reti</w:t>
      </w:r>
    </w:p>
    <w:p>
      <w:pPr>
        <w:pStyle w:val="FirstParagraph"/>
      </w:pPr>
      <w:r>
        <w:rPr>
          <w:bCs/>
          <w:b/>
        </w:rPr>
        <w:t xml:space="preserve">Dipartimento degli Esteri sudafricano</w:t>
      </w:r>
      <w:r>
        <w:t xml:space="preserve">: ministero guidato da Pik Botha, documentato da van Vuuren e dall’inchiesta Open Secrets come finanziatore e organizzatore materiale delle riunioni di Le Cercle. Contributo al bilancio del segretariato mediante fondi movimentati illegalmente attraverso il dicastero; organizzazione della riunione di Stellenbosch con fornitura di biglietti South African Airways a prezzo agevolato e riclassificazioni gratuite.</w:t>
      </w:r>
      <w:r>
        <w:t xml:space="preserve"> </w:t>
      </w:r>
      <w:r>
        <w:rPr>
          <w:bCs/>
          <w:b/>
        </w:rPr>
        <w:t xml:space="preserve">Livello A</w:t>
      </w:r>
      <w:r>
        <w:t xml:space="preserve"> </w:t>
      </w:r>
      <w:r>
        <w:t xml:space="preserve">per il fatto istituzionale, con la riserva metodologica di cui alla Parte X circa la verifica dell’importo esatto sul testo originale.</w:t>
      </w:r>
    </w:p>
    <w:p>
      <w:pPr>
        <w:pStyle w:val="BodyText"/>
      </w:pPr>
      <w:r>
        <w:rPr>
          <w:bCs/>
          <w:b/>
        </w:rPr>
        <w:t xml:space="preserve">Le Cercle</w:t>
      </w:r>
      <w:r>
        <w:t xml:space="preserve">: forum internazionale conservatore, definito dalla Commissione Khan come foro informale di rappresentanti influenti di orientamento conservatore provenienti da Regno Unito, Francia, Germania, Italia, Oman, Stati Uniti e Sudafrica, e come fonte preziosa di consiglio e amicizia per Pretoria. Domini: D2 politica, D3 intelligence, D4 società riservate. È il nodo-organizzazione di massima betweenness del corpus di sessione, in quanto unico punto di contatto documentato fra l’universo del regime sudafricano e l’universo delle reti europee del corpus permanente. Si sottolinea la presenza dell’</w:t>
      </w:r>
      <w:r>
        <w:rPr>
          <w:bCs/>
          <w:b/>
        </w:rPr>
        <w:t xml:space="preserve">Italia</w:t>
      </w:r>
      <w:r>
        <w:t xml:space="preserve"> </w:t>
      </w:r>
      <w:r>
        <w:t xml:space="preserve">fra le nazionalità elencate dalla Commissione Khan: tale menzione costituisce</w:t>
      </w:r>
      <w:r>
        <w:t xml:space="preserve"> </w:t>
      </w:r>
      <w:r>
        <w:rPr>
          <w:bCs/>
          <w:b/>
        </w:rPr>
        <w:t xml:space="preserve">vettore di ricerca prioritario</w:t>
      </w:r>
      <w:r>
        <w:t xml:space="preserve"> </w:t>
      </w:r>
      <w:r>
        <w:t xml:space="preserve">per la prosecuzione dell’indagine, non essendo attualmente noti nel corpus di sessione i nominativi italiani corrispondenti.</w:t>
      </w:r>
    </w:p>
    <w:p>
      <w:pPr>
        <w:pStyle w:val="BodyText"/>
      </w:pPr>
      <w:r>
        <w:rPr>
          <w:bCs/>
          <w:b/>
        </w:rPr>
        <w:t xml:space="preserve">Commissione Khan</w:t>
      </w:r>
      <w:r>
        <w:t xml:space="preserve">, istituita da de Klerk nel 1991 per l’indagine sui progetti segreti del regime. Livello A.</w:t>
      </w:r>
      <w:r>
        <w:t xml:space="preserve"> </w:t>
      </w:r>
      <w:r>
        <w:rPr>
          <w:bCs/>
          <w:b/>
        </w:rPr>
        <w:t xml:space="preserve">South African Airways</w:t>
      </w:r>
      <w:r>
        <w:t xml:space="preserve">, in quanto vettore utilizzato per l’organizzazione logistica della riunione del 1984.</w:t>
      </w:r>
      <w:r>
        <w:t xml:space="preserve"> </w:t>
      </w:r>
      <w:r>
        <w:rPr>
          <w:bCs/>
          <w:b/>
        </w:rPr>
        <w:t xml:space="preserve">Rembrandt Group</w:t>
      </w:r>
      <w:r>
        <w:t xml:space="preserve"> </w:t>
      </w:r>
      <w:r>
        <w:t xml:space="preserve">e</w:t>
      </w:r>
      <w:r>
        <w:t xml:space="preserve"> </w:t>
      </w:r>
      <w:r>
        <w:rPr>
          <w:bCs/>
          <w:b/>
        </w:rPr>
        <w:t xml:space="preserve">Anglo American</w:t>
      </w:r>
      <w:r>
        <w:t xml:space="preserve">, in quanto entità economiche di raccordo.</w:t>
      </w:r>
      <w:r>
        <w:t xml:space="preserve"> </w:t>
      </w:r>
      <w:r>
        <w:rPr>
          <w:bCs/>
          <w:b/>
        </w:rPr>
        <w:t xml:space="preserve">Open Secrets</w:t>
      </w:r>
      <w:r>
        <w:t xml:space="preserve"> </w:t>
      </w:r>
      <w:r>
        <w:t xml:space="preserve">e</w:t>
      </w:r>
      <w:r>
        <w:t xml:space="preserve"> </w:t>
      </w:r>
      <w:r>
        <w:rPr>
          <w:bCs/>
          <w:b/>
        </w:rPr>
        <w:t xml:space="preserve">Daily Maverick</w:t>
      </w:r>
      <w:r>
        <w:t xml:space="preserve">, in quanto entità di ricerca e testate che hanno prodotto e pubblicato l’inchiesta. Livello A come nodi-fonte.</w:t>
      </w:r>
    </w:p>
    <w:bookmarkEnd w:id="42"/>
    <w:bookmarkStart w:id="43" w:name="Xa5f0de5db3065b2db8fd90205c89017d903a925"/>
    <w:p>
      <w:pPr>
        <w:pStyle w:val="Heading2"/>
      </w:pPr>
      <w:r>
        <w:t xml:space="preserve">§ 4.4 — Organizzazioni della rete eversiva in Stato Zero</w:t>
      </w:r>
    </w:p>
    <w:p>
      <w:pPr>
        <w:pStyle w:val="FirstParagraph"/>
      </w:pPr>
      <w:r>
        <w:rPr>
          <w:bCs/>
          <w:b/>
        </w:rPr>
        <w:t xml:space="preserve">Aginter Press</w:t>
      </w:r>
      <w:r>
        <w:t xml:space="preserve">,</w:t>
      </w:r>
      <w:r>
        <w:t xml:space="preserve"> </w:t>
      </w:r>
      <w:r>
        <w:rPr>
          <w:bCs/>
          <w:b/>
        </w:rPr>
        <w:t xml:space="preserve">PIDE</w:t>
      </w:r>
      <w:r>
        <w:t xml:space="preserve">,</w:t>
      </w:r>
      <w:r>
        <w:t xml:space="preserve"> </w:t>
      </w:r>
      <w:r>
        <w:rPr>
          <w:bCs/>
          <w:b/>
        </w:rPr>
        <w:t xml:space="preserve">OAS</w:t>
      </w:r>
      <w:r>
        <w:t xml:space="preserve">,</w:t>
      </w:r>
      <w:r>
        <w:t xml:space="preserve"> </w:t>
      </w:r>
      <w:r>
        <w:rPr>
          <w:bCs/>
          <w:b/>
        </w:rPr>
        <w:t xml:space="preserve">Avanguardia Nazionale</w:t>
      </w:r>
      <w:r>
        <w:t xml:space="preserve">,</w:t>
      </w:r>
      <w:r>
        <w:t xml:space="preserve"> </w:t>
      </w:r>
      <w:r>
        <w:rPr>
          <w:bCs/>
          <w:b/>
        </w:rPr>
        <w:t xml:space="preserve">Ordine Nuovo</w:t>
      </w:r>
      <w:r>
        <w:t xml:space="preserve">,</w:t>
      </w:r>
      <w:r>
        <w:t xml:space="preserve"> </w:t>
      </w:r>
      <w:r>
        <w:rPr>
          <w:bCs/>
          <w:b/>
        </w:rPr>
        <w:t xml:space="preserve">Jeune Europe</w:t>
      </w:r>
      <w:r>
        <w:t xml:space="preserve">,</w:t>
      </w:r>
      <w:r>
        <w:t xml:space="preserve"> </w:t>
      </w:r>
      <w:r>
        <w:rPr>
          <w:bCs/>
          <w:b/>
        </w:rPr>
        <w:t xml:space="preserve">Ordre et Tradition</w:t>
      </w:r>
      <w:r>
        <w:t xml:space="preserve">: registrate in Stato Zero rispetto all’universo PayPal. La verifica è stata condotta sistematicamente e ha prodotto esito negativo per la totalità dei ventidue nodi censiti.</w:t>
      </w:r>
    </w:p>
    <w:p>
      <w:pPr>
        <w:pStyle w:val="BodyText"/>
      </w:pPr>
      <w:r>
        <w:rPr>
          <w:bCs/>
          <w:b/>
        </w:rPr>
        <w:t xml:space="preserve">Technocracy Incorporated</w:t>
      </w:r>
      <w:r>
        <w:t xml:space="preserve">: movimento nordamericano nel quale Joshua Haldeman ricoprì posizione di rilievo. Categoria A per il fatto biografico. Nessun arco documentato verso le organizzazioni eversive europee del corpus.</w:t>
      </w:r>
    </w:p>
    <w:p>
      <w:r>
        <w:pict>
          <v:rect style="width:0;height:1.5pt" o:hralign="center" o:hrstd="t" o:hr="t"/>
        </w:pict>
      </w:r>
    </w:p>
    <w:bookmarkEnd w:id="43"/>
    <w:bookmarkEnd w:id="44"/>
    <w:bookmarkStart w:id="47" w:name="parte-v-nodi-luogo-e-nodi-evento"/>
    <w:p>
      <w:pPr>
        <w:pStyle w:val="Heading1"/>
      </w:pPr>
      <w:r>
        <w:t xml:space="preserve">PARTE V — NODI-LUOGO E NODI-EVENTO</w:t>
      </w:r>
    </w:p>
    <w:bookmarkStart w:id="45" w:name="nodi-luogo-e-zone-di-convergenza"/>
    <w:p>
      <w:pPr>
        <w:pStyle w:val="Heading2"/>
      </w:pPr>
      <w:r>
        <w:t xml:space="preserve">§ 5.1 — Nodi-luogo e zone di convergenza</w:t>
      </w:r>
    </w:p>
    <w:p>
      <w:pPr>
        <w:pStyle w:val="FirstParagraph"/>
      </w:pPr>
      <w:r>
        <w:t xml:space="preserve">L’applicazione del Pattern 10, Spatial Overlay Analysis, al corpus di sessione identifica una zona di convergenza principale e una serie di nodi-luogo satelliti.</w:t>
      </w:r>
    </w:p>
    <w:p>
      <w:pPr>
        <w:pStyle w:val="BodyText"/>
      </w:pPr>
      <w:r>
        <w:t xml:space="preserve">La zona di convergenza principale è il</w:t>
      </w:r>
      <w:r>
        <w:t xml:space="preserve"> </w:t>
      </w:r>
      <w:r>
        <w:rPr>
          <w:bCs/>
          <w:b/>
        </w:rPr>
        <w:t xml:space="preserve">corridoio Swakopmund–Rössing–Pretoria</w:t>
      </w:r>
      <w:r>
        <w:t xml:space="preserve">, nella Namibia occupata e nel Sudafrica dell’apartheid fra il 1950 e il 1994. In tale corridoio convergono, in un arco temporale sovrapponibile, l’infanzia di Peter Thiel, l’attività professionale di Klaus Thiel presso l’impianto di Rössing, l’infanzia e l’adolescenza di Elon Musk a Pretoria, la nascita di Roelof Botha a Pretoria, l’attività ministeriale di Pik Botha a Pretoria, e l’insediamento sudafricano di Joshua Haldeman a partire dal 1950. La densità di co-presenza spaziale è elevata; la co-presenza relazionale documentata è, per contro, nulla: non risulta alcun contatto documentato fra le famiglie Thiel, Musk, Botha e Sacks nel periodo sudafricano. Si registra pertanto la zona di convergenza come</w:t>
      </w:r>
      <w:r>
        <w:t xml:space="preserve"> </w:t>
      </w:r>
      <w:r>
        <w:rPr>
          <w:bCs/>
          <w:b/>
        </w:rPr>
        <w:t xml:space="preserve">convergenza ecologica e non relazionale</w:t>
      </w:r>
      <w:r>
        <w:t xml:space="preserve">: gli attori condividono l’ambiente sistemico, non la rete.</w:t>
      </w:r>
    </w:p>
    <w:p>
      <w:pPr>
        <w:pStyle w:val="BodyText"/>
      </w:pPr>
      <w:r>
        <w:rPr>
          <w:bCs/>
          <w:b/>
        </w:rPr>
        <w:t xml:space="preserve">Swakopmund</w:t>
      </w:r>
      <w:r>
        <w:t xml:space="preserve">, Namibia: località di residenza della famiglia Thiel, sede di scuola di lingua tedesca, e oggetto di un servizio del New York Times del 1976 che documentava la persistenza di manifestazioni di culto nazista, incluso l’uso del saluto hitleriano. Nodo di Livello A per il contesto ambientale.</w:t>
      </w:r>
    </w:p>
    <w:p>
      <w:pPr>
        <w:pStyle w:val="BodyText"/>
      </w:pPr>
      <w:r>
        <w:rPr>
          <w:bCs/>
          <w:b/>
        </w:rPr>
        <w:t xml:space="preserve">Rössing</w:t>
      </w:r>
      <w:r>
        <w:t xml:space="preserve">, Namibia: sito estrattivo.</w:t>
      </w:r>
      <w:r>
        <w:t xml:space="preserve"> </w:t>
      </w:r>
      <w:r>
        <w:rPr>
          <w:bCs/>
          <w:b/>
        </w:rPr>
        <w:t xml:space="preserve">Pretoria</w:t>
      </w:r>
      <w:r>
        <w:t xml:space="preserve"> </w:t>
      </w:r>
      <w:r>
        <w:t xml:space="preserve">e</w:t>
      </w:r>
      <w:r>
        <w:t xml:space="preserve"> </w:t>
      </w:r>
      <w:r>
        <w:rPr>
          <w:bCs/>
          <w:b/>
        </w:rPr>
        <w:t xml:space="preserve">Città del Capo</w:t>
      </w:r>
      <w:r>
        <w:t xml:space="preserve">, Sudafrica: rispettivamente luogo di nascita di Musk e Roelof Botha, e di Sacks.</w:t>
      </w:r>
      <w:r>
        <w:t xml:space="preserve"> </w:t>
      </w:r>
      <w:r>
        <w:rPr>
          <w:bCs/>
          <w:b/>
        </w:rPr>
        <w:t xml:space="preserve">Johannesburg</w:t>
      </w:r>
      <w:r>
        <w:t xml:space="preserve">: menzionata nel percorso familiare Thiel.</w:t>
      </w:r>
      <w:r>
        <w:t xml:space="preserve"> </w:t>
      </w:r>
      <w:r>
        <w:rPr>
          <w:bCs/>
          <w:b/>
        </w:rPr>
        <w:t xml:space="preserve">Stellenbosch</w:t>
      </w:r>
      <w:r>
        <w:t xml:space="preserve">: sede della riunione di Le Cercle del gennaio 1984, con circa trenta partecipanti fra ex ministri francesi, parlamentari tedeschi, politici britannici e responsabili della sicurezza statunitensi.</w:t>
      </w:r>
    </w:p>
    <w:p>
      <w:pPr>
        <w:pStyle w:val="BodyText"/>
      </w:pPr>
      <w:r>
        <w:rPr>
          <w:bCs/>
          <w:b/>
        </w:rPr>
        <w:t xml:space="preserve">Francoforte sul Meno</w:t>
      </w:r>
      <w:r>
        <w:t xml:space="preserve">: luogo di nascita di Thiel.</w:t>
      </w:r>
      <w:r>
        <w:t xml:space="preserve"> </w:t>
      </w:r>
      <w:r>
        <w:rPr>
          <w:bCs/>
          <w:b/>
        </w:rPr>
        <w:t xml:space="preserve">Domnau</w:t>
      </w:r>
      <w:r>
        <w:t xml:space="preserve">, Prussia orientale: luogo di nascita del nonno Herbert Thiel.</w:t>
      </w:r>
      <w:r>
        <w:t xml:space="preserve"> </w:t>
      </w:r>
      <w:r>
        <w:rPr>
          <w:bCs/>
          <w:b/>
        </w:rPr>
        <w:t xml:space="preserve">Merseburg</w:t>
      </w:r>
      <w:r>
        <w:t xml:space="preserve">, Repubblica Democratica Tedesca: luogo di nascita di Karim.</w:t>
      </w:r>
      <w:r>
        <w:t xml:space="preserve"> </w:t>
      </w:r>
      <w:r>
        <w:rPr>
          <w:bCs/>
          <w:b/>
        </w:rPr>
        <w:t xml:space="preserve">Kiev</w:t>
      </w:r>
      <w:r>
        <w:t xml:space="preserve">: luogo di nascita di Levchin.</w:t>
      </w:r>
      <w:r>
        <w:t xml:space="preserve"> </w:t>
      </w:r>
      <w:r>
        <w:rPr>
          <w:bCs/>
          <w:b/>
        </w:rPr>
        <w:t xml:space="preserve">Capenhurst</w:t>
      </w:r>
      <w:r>
        <w:t xml:space="preserve">,</w:t>
      </w:r>
      <w:r>
        <w:t xml:space="preserve"> </w:t>
      </w:r>
      <w:r>
        <w:rPr>
          <w:bCs/>
          <w:b/>
        </w:rPr>
        <w:t xml:space="preserve">Almelo</w:t>
      </w:r>
      <w:r>
        <w:t xml:space="preserve">,</w:t>
      </w:r>
      <w:r>
        <w:t xml:space="preserve"> </w:t>
      </w:r>
      <w:r>
        <w:rPr>
          <w:bCs/>
          <w:b/>
        </w:rPr>
        <w:t xml:space="preserve">Gronau</w:t>
      </w:r>
      <w:r>
        <w:t xml:space="preserve">: siti URENCO.</w:t>
      </w:r>
      <w:r>
        <w:t xml:space="preserve"> </w:t>
      </w:r>
      <w:r>
        <w:rPr>
          <w:bCs/>
          <w:b/>
        </w:rPr>
        <w:t xml:space="preserve">Lisbona</w:t>
      </w:r>
      <w:r>
        <w:t xml:space="preserve">: sede di Aginter Press, registrata in Stato Zero rispetto all’universo PayPal.</w:t>
      </w:r>
      <w:r>
        <w:t xml:space="preserve"> </w:t>
      </w:r>
      <w:r>
        <w:rPr>
          <w:bCs/>
          <w:b/>
        </w:rPr>
        <w:t xml:space="preserve">New York</w:t>
      </w:r>
      <w:r>
        <w:t xml:space="preserve">: sede della firma degli Accordi del 1988.</w:t>
      </w:r>
      <w:r>
        <w:t xml:space="preserve"> </w:t>
      </w:r>
      <w:r>
        <w:rPr>
          <w:bCs/>
          <w:b/>
        </w:rPr>
        <w:t xml:space="preserve">Buenos Aires</w:t>
      </w:r>
      <w:r>
        <w:t xml:space="preserve">: destinazione del trasferimento Thiel nel 2025, nodo di potenziale raccordo con la famiglia documentale sudamericana del corpus permanente, allo stato privo di archi documentati.</w:t>
      </w:r>
    </w:p>
    <w:bookmarkEnd w:id="45"/>
    <w:bookmarkStart w:id="46" w:name="nodi-evento-in-ordine-cronologico"/>
    <w:p>
      <w:pPr>
        <w:pStyle w:val="Heading2"/>
      </w:pPr>
      <w:r>
        <w:t xml:space="preserve">§ 5.2 — Nodi-evento in ordine cronologico</w:t>
      </w:r>
    </w:p>
    <w:p>
      <w:pPr>
        <w:pStyle w:val="FirstParagraph"/>
      </w:pPr>
      <w:r>
        <w:rPr>
          <w:bCs/>
          <w:b/>
        </w:rPr>
        <w:t xml:space="preserve">1950</w:t>
      </w:r>
      <w:r>
        <w:t xml:space="preserve"> </w:t>
      </w:r>
      <w:r>
        <w:t xml:space="preserve">— Emigrazione di Joshua Haldeman dal Canada al Sudafrica, motivata dal sostegno dichiarato al governo dell’apartheid appena insediato. Livello A.</w:t>
      </w:r>
    </w:p>
    <w:p>
      <w:pPr>
        <w:pStyle w:val="BodyText"/>
      </w:pPr>
      <w:r>
        <w:rPr>
          <w:bCs/>
          <w:b/>
        </w:rPr>
        <w:t xml:space="preserve">1967</w:t>
      </w:r>
      <w:r>
        <w:t xml:space="preserve"> </w:t>
      </w:r>
      <w:r>
        <w:t xml:space="preserve">— Nascita di Peter Thiel a Francoforte.</w:t>
      </w:r>
      <w:r>
        <w:t xml:space="preserve"> </w:t>
      </w:r>
      <w:r>
        <w:rPr>
          <w:bCs/>
          <w:b/>
        </w:rPr>
        <w:t xml:space="preserve">1971</w:t>
      </w:r>
      <w:r>
        <w:t xml:space="preserve"> </w:t>
      </w:r>
      <w:r>
        <w:t xml:space="preserve">— Nascita di Elon Musk a Pretoria.</w:t>
      </w:r>
      <w:r>
        <w:t xml:space="preserve"> </w:t>
      </w:r>
      <w:r>
        <w:rPr>
          <w:bCs/>
          <w:b/>
        </w:rPr>
        <w:t xml:space="preserve">1972</w:t>
      </w:r>
      <w:r>
        <w:t xml:space="preserve"> </w:t>
      </w:r>
      <w:r>
        <w:t xml:space="preserve">— Nascita di David Sacks a Città del Capo.</w:t>
      </w:r>
      <w:r>
        <w:t xml:space="preserve"> </w:t>
      </w:r>
      <w:r>
        <w:rPr>
          <w:bCs/>
          <w:b/>
        </w:rPr>
        <w:t xml:space="preserve">1973</w:t>
      </w:r>
      <w:r>
        <w:t xml:space="preserve"> </w:t>
      </w:r>
      <w:r>
        <w:t xml:space="preserve">— Nascita di Roelof Botha a Pretoria. Livello A per ciascuno.</w:t>
      </w:r>
    </w:p>
    <w:p>
      <w:pPr>
        <w:pStyle w:val="BodyText"/>
      </w:pPr>
      <w:r>
        <w:rPr>
          <w:bCs/>
          <w:b/>
        </w:rPr>
        <w:t xml:space="preserve">1976</w:t>
      </w:r>
      <w:r>
        <w:t xml:space="preserve"> </w:t>
      </w:r>
      <w:r>
        <w:t xml:space="preserve">— Apertura della miniera di Rössing. Nel medesimo anno, servizio del New York Times sulla persistenza del culto nazista a Swakopmund. Livello A.</w:t>
      </w:r>
    </w:p>
    <w:p>
      <w:pPr>
        <w:pStyle w:val="BodyText"/>
      </w:pPr>
      <w:r>
        <w:rPr>
          <w:bCs/>
          <w:b/>
        </w:rPr>
        <w:t xml:space="preserve">1975-1977</w:t>
      </w:r>
      <w:r>
        <w:t xml:space="preserve"> </w:t>
      </w:r>
      <w:r>
        <w:t xml:space="preserve">— Residenza della famiglia Thiel a Swakopmund. Livello A con datazione approssimata.</w:t>
      </w:r>
    </w:p>
    <w:p>
      <w:pPr>
        <w:pStyle w:val="BodyText"/>
      </w:pPr>
      <w:r>
        <w:rPr>
          <w:bCs/>
          <w:b/>
        </w:rPr>
        <w:t xml:space="preserve">27 aprile 1977</w:t>
      </w:r>
      <w:r>
        <w:t xml:space="preserve"> </w:t>
      </w:r>
      <w:r>
        <w:t xml:space="preserve">— Insediamento di Pik Botha come ministro degli esteri. Livello A.</w:t>
      </w:r>
    </w:p>
    <w:p>
      <w:pPr>
        <w:pStyle w:val="BodyText"/>
      </w:pPr>
      <w:r>
        <w:rPr>
          <w:bCs/>
          <w:b/>
        </w:rPr>
        <w:t xml:space="preserve">gennaio 1984</w:t>
      </w:r>
      <w:r>
        <w:t xml:space="preserve"> </w:t>
      </w:r>
      <w:r>
        <w:t xml:space="preserve">— Riunione di Le Cercle a Stellenbosch, organizzata dal Dipartimento degli Esteri sudafricano. Livello A.</w:t>
      </w:r>
    </w:p>
    <w:p>
      <w:pPr>
        <w:pStyle w:val="BodyText"/>
      </w:pPr>
      <w:r>
        <w:rPr>
          <w:bCs/>
          <w:b/>
        </w:rPr>
        <w:t xml:space="preserve">1985</w:t>
      </w:r>
      <w:r>
        <w:t xml:space="preserve"> </w:t>
      </w:r>
      <w:r>
        <w:t xml:space="preserve">— Azione giudiziaria del Consiglio delle Nazioni Unite per la Namibia contro URENCO per importazione di uranio di Rössing. Livello A.</w:t>
      </w:r>
    </w:p>
    <w:p>
      <w:pPr>
        <w:pStyle w:val="BodyText"/>
      </w:pPr>
      <w:r>
        <w:rPr>
          <w:bCs/>
          <w:b/>
        </w:rPr>
        <w:t xml:space="preserve">22 dicembre 1988</w:t>
      </w:r>
      <w:r>
        <w:t xml:space="preserve"> </w:t>
      </w:r>
      <w:r>
        <w:t xml:space="preserve">— Firma degli Accordi di New York. Nel medesimo anno, ulteriore riunione di Le Cercle. Livello A.</w:t>
      </w:r>
    </w:p>
    <w:p>
      <w:pPr>
        <w:pStyle w:val="BodyText"/>
      </w:pPr>
      <w:r>
        <w:rPr>
          <w:bCs/>
          <w:b/>
        </w:rPr>
        <w:t xml:space="preserve">1991</w:t>
      </w:r>
      <w:r>
        <w:t xml:space="preserve"> </w:t>
      </w:r>
      <w:r>
        <w:t xml:space="preserve">— Terza riunione documentata di Le Cercle. Istituzione della Commissione Khan da parte di de Klerk. Arrivo di Levchin negli Stati Uniti come rifugiato. Livello A.</w:t>
      </w:r>
    </w:p>
    <w:p>
      <w:pPr>
        <w:pStyle w:val="BodyText"/>
      </w:pPr>
      <w:r>
        <w:rPr>
          <w:bCs/>
          <w:b/>
        </w:rPr>
        <w:t xml:space="preserve">10 maggio 1994</w:t>
      </w:r>
      <w:r>
        <w:t xml:space="preserve"> </w:t>
      </w:r>
      <w:r>
        <w:t xml:space="preserve">— Cessazione del mandato di Pik Botha, coincidente con la fine formale del regime. Livello A.</w:t>
      </w:r>
    </w:p>
    <w:p>
      <w:pPr>
        <w:pStyle w:val="BodyText"/>
      </w:pPr>
      <w:r>
        <w:rPr>
          <w:bCs/>
          <w:b/>
        </w:rPr>
        <w:t xml:space="preserve">1995</w:t>
      </w:r>
      <w:r>
        <w:t xml:space="preserve"> </w:t>
      </w:r>
      <w:r>
        <w:t xml:space="preserve">— Pubblicazione di</w:t>
      </w:r>
      <w:r>
        <w:t xml:space="preserve"> </w:t>
      </w:r>
      <w:r>
        <w:rPr>
          <w:iCs/>
          <w:i/>
        </w:rPr>
        <w:t xml:space="preserve">The Diversity Myth</w:t>
      </w:r>
      <w:r>
        <w:t xml:space="preserve"> </w:t>
      </w:r>
      <w:r>
        <w:t xml:space="preserve">di Sacks e Thiel. Livello A.</w:t>
      </w:r>
    </w:p>
    <w:p>
      <w:pPr>
        <w:pStyle w:val="BodyText"/>
      </w:pPr>
      <w:r>
        <w:rPr>
          <w:bCs/>
          <w:b/>
        </w:rPr>
        <w:t xml:space="preserve">2006</w:t>
      </w:r>
      <w:r>
        <w:t xml:space="preserve"> </w:t>
      </w:r>
      <w:r>
        <w:t xml:space="preserve">— Fondazione di Dialog da parte di Thiel. Livello A.</w:t>
      </w:r>
      <w:r>
        <w:t xml:space="preserve"> </w:t>
      </w:r>
      <w:r>
        <w:rPr>
          <w:bCs/>
          <w:b/>
        </w:rPr>
        <w:t xml:space="preserve">2007</w:t>
      </w:r>
      <w:r>
        <w:t xml:space="preserve"> </w:t>
      </w:r>
      <w:r>
        <w:t xml:space="preserve">— Pubblicazione della fotografia Fortune che consacra l’espressione PayPal Mafia. Livello A.</w:t>
      </w:r>
    </w:p>
    <w:p>
      <w:pPr>
        <w:pStyle w:val="BodyText"/>
      </w:pPr>
      <w:r>
        <w:rPr>
          <w:bCs/>
          <w:b/>
        </w:rPr>
        <w:t xml:space="preserve">13 aprile 2009</w:t>
      </w:r>
      <w:r>
        <w:t xml:space="preserve"> </w:t>
      </w:r>
      <w:r>
        <w:t xml:space="preserve">— Pubblicazione di</w:t>
      </w:r>
      <w:r>
        <w:t xml:space="preserve"> </w:t>
      </w:r>
      <w:r>
        <w:rPr>
          <w:iCs/>
          <w:i/>
        </w:rPr>
        <w:t xml:space="preserve">The Education of a Libertarian</w:t>
      </w:r>
      <w:r>
        <w:t xml:space="preserve"> </w:t>
      </w:r>
      <w:r>
        <w:t xml:space="preserve">su Cato Unbound. Livello A.</w:t>
      </w:r>
    </w:p>
    <w:p>
      <w:pPr>
        <w:pStyle w:val="BodyText"/>
      </w:pPr>
      <w:r>
        <w:rPr>
          <w:bCs/>
          <w:b/>
        </w:rPr>
        <w:t xml:space="preserve">2017</w:t>
      </w:r>
      <w:r>
        <w:t xml:space="preserve"> </w:t>
      </w:r>
      <w:r>
        <w:t xml:space="preserve">— Pubblicazione di</w:t>
      </w:r>
      <w:r>
        <w:t xml:space="preserve"> </w:t>
      </w:r>
      <w:r>
        <w:rPr>
          <w:iCs/>
          <w:i/>
        </w:rPr>
        <w:t xml:space="preserve">Apartheid, Guns and Money</w:t>
      </w:r>
      <w:r>
        <w:t xml:space="preserve"> </w:t>
      </w:r>
      <w:r>
        <w:t xml:space="preserve">di van Vuuren, che rende disponibile la documentazione archivistica sul finanziamento di Le Cercle. Livello A.</w:t>
      </w:r>
    </w:p>
    <w:p>
      <w:pPr>
        <w:pStyle w:val="BodyText"/>
      </w:pPr>
      <w:r>
        <w:rPr>
          <w:bCs/>
          <w:b/>
        </w:rPr>
        <w:t xml:space="preserve">29 gennaio 2025</w:t>
      </w:r>
      <w:r>
        <w:t xml:space="preserve"> </w:t>
      </w:r>
      <w:r>
        <w:t xml:space="preserve">— Verifica indipendente Snopes che esclude l’esistenza di prove dirette di appartenenza nazista dei nonni di Musk. Livello A. Si registra come</w:t>
      </w:r>
      <w:r>
        <w:t xml:space="preserve"> </w:t>
      </w:r>
      <w:r>
        <w:rPr>
          <w:bCs/>
          <w:b/>
        </w:rPr>
        <w:t xml:space="preserve">nodo-evento di falsificazione</w:t>
      </w:r>
      <w:r>
        <w:t xml:space="preserve">.</w:t>
      </w:r>
    </w:p>
    <w:p>
      <w:pPr>
        <w:pStyle w:val="BodyText"/>
      </w:pPr>
      <w:r>
        <w:rPr>
          <w:bCs/>
          <w:b/>
        </w:rPr>
        <w:t xml:space="preserve">2025</w:t>
      </w:r>
      <w:r>
        <w:t xml:space="preserve"> </w:t>
      </w:r>
      <w:r>
        <w:t xml:space="preserve">— Trasferimento della famiglia Thiel a Buenos Aires. Livello A.</w:t>
      </w:r>
    </w:p>
    <w:p>
      <w:r>
        <w:pict>
          <v:rect style="width:0;height:1.5pt" o:hralign="center" o:hrstd="t" o:hr="t"/>
        </w:pict>
      </w:r>
    </w:p>
    <w:bookmarkEnd w:id="46"/>
    <w:bookmarkEnd w:id="47"/>
    <w:bookmarkStart w:id="48" w:name="parte-vi-nodi-concetto-e-nodi-pattern"/>
    <w:p>
      <w:pPr>
        <w:pStyle w:val="Heading1"/>
      </w:pPr>
      <w:r>
        <w:t xml:space="preserve">PARTE VI — NODI-CONCETTO E NODI-PATTERN</w:t>
      </w:r>
    </w:p>
    <w:p>
      <w:pPr>
        <w:pStyle w:val="FirstParagraph"/>
      </w:pPr>
      <w:r>
        <w:t xml:space="preserve">Si registrano come nodi autonomi i concetti operativi introdotti o attivati dal corpus di sessione.</w:t>
      </w:r>
    </w:p>
    <w:p>
      <w:pPr>
        <w:pStyle w:val="BodyText"/>
      </w:pPr>
      <w:r>
        <w:rPr>
          <w:bCs/>
          <w:b/>
        </w:rPr>
        <w:t xml:space="preserve">Stato Zero</w:t>
      </w:r>
      <w:r>
        <w:t xml:space="preserve">: categoria probatoria introdotta dalla presente compilazione, che registra la connessione cercata sistematicamente e non trovata come dato positivo acquisito. Estende lo standard Savona da tre a quattro stati.</w:t>
      </w:r>
    </w:p>
    <w:p>
      <w:pPr>
        <w:pStyle w:val="BodyText"/>
      </w:pPr>
      <w:r>
        <w:rPr>
          <w:bCs/>
          <w:b/>
        </w:rPr>
        <w:t xml:space="preserve">Convergenza ecologica non relazionale</w:t>
      </w:r>
      <w:r>
        <w:t xml:space="preserve">: categoria introdotta dalla presente compilazione per designare la situazione nella quale una pluralità di attori condivide un ambiente sistemico ristretto nello spazio e nel tempo senza che sussista fra loro alcuna relazione documentata. Distingue il Pattern 10 dal Pattern 2: la prossimità spaziale genera ipotesi, non comunità.</w:t>
      </w:r>
    </w:p>
    <w:p>
      <w:pPr>
        <w:pStyle w:val="BodyText"/>
      </w:pPr>
      <w:r>
        <w:rPr>
          <w:bCs/>
          <w:b/>
        </w:rPr>
        <w:t xml:space="preserve">Cluster biografico non operativo</w:t>
      </w:r>
      <w:r>
        <w:t xml:space="preserve">: categoria introdotta per designare un raggruppamento di nodi accomunati da origine geografica e contesto formativo comuni, in assenza di struttura organizzativa condivisa e di coordinamento documentato. È la qualificazione esatta del cluster sudafricano della PayPal Mafia.</w:t>
      </w:r>
    </w:p>
    <w:p>
      <w:pPr>
        <w:pStyle w:val="BodyText"/>
      </w:pPr>
      <w:r>
        <w:rPr>
          <w:bCs/>
          <w:b/>
        </w:rPr>
        <w:t xml:space="preserve">Ponte istituzionale a distanza generazionale</w:t>
      </w:r>
      <w:r>
        <w:t xml:space="preserve">: categoria introdotta per designare l’arco che collega un nodo contemporaneo a una rete storica non attraverso la sua persona ma attraverso un ascendente e per il tramite di un’istituzione, senza coinvolgimento proprio. È la qualificazione esatta dell’arco Roelof Botha – Le Cercle.</w:t>
      </w:r>
    </w:p>
    <w:p>
      <w:pPr>
        <w:pStyle w:val="BodyText"/>
      </w:pPr>
      <w:r>
        <w:rPr>
          <w:bCs/>
          <w:b/>
        </w:rPr>
        <w:t xml:space="preserve">Falso genealogico</w:t>
      </w:r>
      <w:r>
        <w:t xml:space="preserve">: categoria introdotta per designare le affermazioni di parentela circolanti su fonti non affidabili e destinate a contaminare il corpus se non intercettate. Il Registro le censisce non per accreditarle ma per neutralizzarle.</w:t>
      </w:r>
    </w:p>
    <w:p>
      <w:pPr>
        <w:pStyle w:val="BodyText"/>
      </w:pPr>
      <w:r>
        <w:t xml:space="preserve">I</w:t>
      </w:r>
      <w:r>
        <w:t xml:space="preserve"> </w:t>
      </w:r>
      <w:r>
        <w:rPr>
          <w:bCs/>
          <w:b/>
        </w:rPr>
        <w:t xml:space="preserve">Pattern attivati</w:t>
      </w:r>
      <w:r>
        <w:t xml:space="preserve"> </w:t>
      </w:r>
      <w:r>
        <w:t xml:space="preserve">dalla sessione sono i seguenti: Pattern 5, Structural Holes Analysis, applicato in modalità estesa alla registrazione delle assenze; Pattern 6, Analysis of Competing Hypotheses, applicato all’ipotesi centrale della sessione; Pattern 7, Career Path Analysis, applicato in forma negativa alla verifica dell’assenza di migrazione inter-dominio fra il cluster tecnologico e le reti eversive; Pattern 9, Dynastic Analysis, applicato alle linee Haldeman-Musk, Botha-Botha e Thiel-Thiel; Pattern 10, Spatial Overlay Analysis, applicato al corridoio Swakopmund-Pretoria; Pattern 11, Structural Isomorphism, applicato al confronto fra la topologia di Le Cercle e quella dei fori contemporanei.</w:t>
      </w:r>
    </w:p>
    <w:p>
      <w:pPr>
        <w:pStyle w:val="BodyText"/>
      </w:pPr>
      <w:r>
        <w:t xml:space="preserve">I</w:t>
      </w:r>
      <w:r>
        <w:t xml:space="preserve"> </w:t>
      </w:r>
      <w:r>
        <w:rPr>
          <w:bCs/>
          <w:b/>
        </w:rPr>
        <w:t xml:space="preserve">Pattern non attivati</w:t>
      </w:r>
      <w:r>
        <w:t xml:space="preserve"> </w:t>
      </w:r>
      <w:r>
        <w:t xml:space="preserve">per insufficienza di dati sono: Pattern 1, Hub Analysis, non calcolabile su un corpus di ventidue nodi principali privo di matrice di adiacenza completa; Pattern 2, Community Detection, non applicabile per assenza di archi sufficienti; Pattern 3, Temporal Network Analysis, applicabile solo in forma cronologica descrittiva; Pattern 4, Flow Analysis, non attivato per assenza di flussi documentati fra i due universi; Pattern 8, Shock Doctrine Analysis, non attivato.</w:t>
      </w:r>
    </w:p>
    <w:p>
      <w:r>
        <w:pict>
          <v:rect style="width:0;height:1.5pt" o:hralign="center" o:hrstd="t" o:hr="t"/>
        </w:pict>
      </w:r>
    </w:p>
    <w:bookmarkEnd w:id="48"/>
    <w:bookmarkStart w:id="52" w:name="Xc2cd88aa4b495cc7e18d19694fe54731904b81b"/>
    <w:p>
      <w:pPr>
        <w:pStyle w:val="Heading1"/>
      </w:pPr>
      <w:r>
        <w:t xml:space="preserve">PARTE VII — RETICOLO DEGLI ARCHI REGISTRATI</w:t>
      </w:r>
    </w:p>
    <w:bookmarkStart w:id="49" w:name="archi-di-livello-a"/>
    <w:p>
      <w:pPr>
        <w:pStyle w:val="Heading2"/>
      </w:pPr>
      <w:r>
        <w:t xml:space="preserve">§ 7.1 — Archi di Livello A</w:t>
      </w:r>
    </w:p>
    <w:p>
      <w:pPr>
        <w:pStyle w:val="FirstParagraph"/>
      </w:pPr>
      <w:r>
        <w:rPr>
          <w:bCs/>
          <w:b/>
        </w:rPr>
        <w:t xml:space="preserve">Klaus Thiel → Rössing Uranium</w:t>
      </w:r>
      <w:r>
        <w:t xml:space="preserve">: arco di impiego professionale documentato. Tipologia funzionale: non classificabile secondo la tassonomia quinaria degli archi inter-dominio, trattandosi di rapporto di lavoro ordinario. Rilevanza: colloca un ascendente diretto di un nodo apicale del capitalismo tecnologico contemporaneo all’interno dell’infrastruttura estrattiva strategica del regime dell’apartheid.</w:t>
      </w:r>
    </w:p>
    <w:p>
      <w:pPr>
        <w:pStyle w:val="BodyText"/>
      </w:pPr>
      <w:r>
        <w:rPr>
          <w:bCs/>
          <w:b/>
        </w:rPr>
        <w:t xml:space="preserve">Rössing Uranium → Rio Tinto, Iranian Foreign Investment Company, Industrial Development Corporation</w:t>
      </w:r>
      <w:r>
        <w:t xml:space="preserve">: archi di proprietà documentati. Rilevanza: la compresenza nell’assetto proprietario di un gruppo minerario britannico-australiano, di un veicolo di investimento iraniano e di un ente para-statale sudafricano configura una convergenza economica trasversale a blocchi politici formalmente ostili, riconducibile alla tipologia dell’</w:t>
      </w:r>
      <w:r>
        <w:rPr>
          <w:bCs/>
          <w:b/>
        </w:rPr>
        <w:t xml:space="preserve">arco di convergenza</w:t>
      </w:r>
      <w:r>
        <w:t xml:space="preserve"> </w:t>
      </w:r>
      <w:r>
        <w:t xml:space="preserve">nel senso della Parte III della Nota Metodologica.</w:t>
      </w:r>
    </w:p>
    <w:p>
      <w:pPr>
        <w:pStyle w:val="BodyText"/>
      </w:pPr>
      <w:r>
        <w:rPr>
          <w:bCs/>
          <w:b/>
        </w:rPr>
        <w:t xml:space="preserve">Rössing Uranium → URENCO</w:t>
      </w:r>
      <w:r>
        <w:t xml:space="preserve">: arco di transito del minerale, oggetto di contenzioso presso il Consiglio delle Nazioni Unite per la Namibia nel 1985. Tipologia:</w:t>
      </w:r>
      <w:r>
        <w:t xml:space="preserve"> </w:t>
      </w:r>
      <w:r>
        <w:rPr>
          <w:bCs/>
          <w:b/>
        </w:rPr>
        <w:t xml:space="preserve">arco di transito</w:t>
      </w:r>
      <w:r>
        <w:t xml:space="preserve">.</w:t>
      </w:r>
    </w:p>
    <w:p>
      <w:pPr>
        <w:pStyle w:val="BodyText"/>
      </w:pPr>
      <w:r>
        <w:rPr>
          <w:bCs/>
          <w:b/>
        </w:rPr>
        <w:t xml:space="preserve">Dipartimento degli Esteri sudafricano → Le Cercle</w:t>
      </w:r>
      <w:r>
        <w:t xml:space="preserve">: arco di finanziamento e di organizzazione logistica documentato. Tipologia:</w:t>
      </w:r>
      <w:r>
        <w:t xml:space="preserve"> </w:t>
      </w:r>
      <w:r>
        <w:rPr>
          <w:bCs/>
          <w:b/>
        </w:rPr>
        <w:t xml:space="preserve">arco di collusione</w:t>
      </w:r>
      <w:r>
        <w:t xml:space="preserve"> </w:t>
      </w:r>
      <w:r>
        <w:t xml:space="preserve">fra un apparato statale sanzionato internazionalmente e un foro politico transnazionale privato. È l’arco di maggiore rilevanza sistemica del corpus di sessione, in quanto costituisce l’unico punto documentato di raccordo fra l’universo dell’apartheid e l’universo delle reti conservatrici europee già presenti nel corpus permanente di progetto.</w:t>
      </w:r>
    </w:p>
    <w:p>
      <w:pPr>
        <w:pStyle w:val="BodyText"/>
      </w:pPr>
      <w:r>
        <w:rPr>
          <w:bCs/>
          <w:b/>
        </w:rPr>
        <w:t xml:space="preserve">Pik Botha → Dipartimento degli Esteri sudafricano</w:t>
      </w:r>
      <w:r>
        <w:t xml:space="preserve">: arco di direzione istituzionale documentato.</w:t>
      </w:r>
      <w:r>
        <w:t xml:space="preserve"> </w:t>
      </w:r>
      <w:r>
        <w:rPr>
          <w:bCs/>
          <w:b/>
        </w:rPr>
        <w:t xml:space="preserve">Roelof Botha → Pik Botha</w:t>
      </w:r>
      <w:r>
        <w:t xml:space="preserve">: arco di parentela documentato.</w:t>
      </w:r>
    </w:p>
    <w:p>
      <w:pPr>
        <w:pStyle w:val="BodyText"/>
      </w:pPr>
      <w:r>
        <w:rPr>
          <w:bCs/>
          <w:b/>
        </w:rPr>
        <w:t xml:space="preserve">Peter Thiel ← Founders Fund → Urbit/Tlon ← Curtis Yarvin</w:t>
      </w:r>
      <w:r>
        <w:t xml:space="preserve">: catena di investimento documentata.</w:t>
      </w:r>
    </w:p>
    <w:p>
      <w:pPr>
        <w:pStyle w:val="BodyText"/>
      </w:pPr>
      <w:r>
        <w:rPr>
          <w:bCs/>
          <w:b/>
        </w:rPr>
        <w:t xml:space="preserve">Peter Thiel →</w:t>
      </w:r>
      <w:r>
        <w:rPr>
          <w:bCs/>
          <w:b/>
        </w:rPr>
        <w:t xml:space="preserve"> </w:t>
      </w:r>
      <w:r>
        <w:rPr>
          <w:iCs/>
          <w:i/>
          <w:bCs/>
          <w:b/>
        </w:rPr>
        <w:t xml:space="preserve">The Education of a Libertarian</w:t>
      </w:r>
      <w:r>
        <w:t xml:space="preserve">: arco autoriale documentato.</w:t>
      </w:r>
    </w:p>
    <w:p>
      <w:pPr>
        <w:pStyle w:val="BodyText"/>
      </w:pPr>
      <w:r>
        <w:rPr>
          <w:bCs/>
          <w:b/>
        </w:rPr>
        <w:t xml:space="preserve">Peter Thiel, David Sacks →</w:t>
      </w:r>
      <w:r>
        <w:rPr>
          <w:bCs/>
          <w:b/>
        </w:rPr>
        <w:t xml:space="preserve"> </w:t>
      </w:r>
      <w:r>
        <w:rPr>
          <w:iCs/>
          <w:i/>
          <w:bCs/>
          <w:b/>
        </w:rPr>
        <w:t xml:space="preserve">The Diversity Myth</w:t>
      </w:r>
      <w:r>
        <w:t xml:space="preserve">: arco di coautorialità documentato.</w:t>
      </w:r>
    </w:p>
    <w:p>
      <w:pPr>
        <w:pStyle w:val="BodyText"/>
      </w:pPr>
      <w:r>
        <w:rPr>
          <w:bCs/>
          <w:b/>
        </w:rPr>
        <w:t xml:space="preserve">Joshua Haldeman → Technocracy Incorporated</w:t>
      </w:r>
      <w:r>
        <w:t xml:space="preserve">: arco di affiliazione documentato.</w:t>
      </w:r>
      <w:r>
        <w:t xml:space="preserve"> </w:t>
      </w:r>
      <w:r>
        <w:rPr>
          <w:bCs/>
          <w:b/>
        </w:rPr>
        <w:t xml:space="preserve">Joshua Haldeman → Elon Musk</w:t>
      </w:r>
      <w:r>
        <w:t xml:space="preserve">: arco di parentela documentato.</w:t>
      </w:r>
    </w:p>
    <w:bookmarkEnd w:id="49"/>
    <w:bookmarkStart w:id="50" w:name="archi-di-livello-b"/>
    <w:p>
      <w:pPr>
        <w:pStyle w:val="Heading2"/>
      </w:pPr>
      <w:r>
        <w:t xml:space="preserve">§ 7.2 — Archi di Livello B</w:t>
      </w:r>
    </w:p>
    <w:p>
      <w:pPr>
        <w:pStyle w:val="FirstParagraph"/>
      </w:pPr>
      <w:r>
        <w:rPr>
          <w:bCs/>
          <w:b/>
        </w:rPr>
        <w:t xml:space="preserve">Pik Botha → Le Cercle</w:t>
      </w:r>
      <w:r>
        <w:t xml:space="preserve">: partecipazione personale non corroborata da fonti affidabili. La documentazione van Vuuren e Open Secrets nomina Taswell, Fraser, Rupert e Relly, non Botha. Declassato a</w:t>
      </w:r>
      <w:r>
        <w:t xml:space="preserve"> </w:t>
      </w:r>
      <w:r>
        <w:rPr>
          <w:bCs/>
          <w:b/>
        </w:rPr>
        <w:t xml:space="preserve">Livello C</w:t>
      </w:r>
      <w:r>
        <w:t xml:space="preserve"> </w:t>
      </w:r>
      <w:r>
        <w:t xml:space="preserve">in sede conclusiva.</w:t>
      </w:r>
    </w:p>
    <w:p>
      <w:pPr>
        <w:pStyle w:val="BodyText"/>
      </w:pPr>
      <w:r>
        <w:rPr>
          <w:bCs/>
          <w:b/>
        </w:rPr>
        <w:t xml:space="preserve">Errol Musk → concessione mineraria zambiana</w:t>
      </w:r>
      <w:r>
        <w:t xml:space="preserve">: contestato.</w:t>
      </w:r>
    </w:p>
    <w:p>
      <w:pPr>
        <w:pStyle w:val="BodyText"/>
      </w:pPr>
      <w:r>
        <w:rPr>
          <w:bCs/>
          <w:b/>
        </w:rPr>
        <w:t xml:space="preserve">Peter Thiel → Javier Milei</w:t>
      </w:r>
      <w:r>
        <w:t xml:space="preserve">: affinità dichiarata, non struttura.</w:t>
      </w:r>
    </w:p>
    <w:p>
      <w:pPr>
        <w:pStyle w:val="BodyText"/>
      </w:pPr>
      <w:r>
        <w:rPr>
          <w:bCs/>
          <w:b/>
        </w:rPr>
        <w:t xml:space="preserve">Anton Rupert, Gavin Relly → Le Cercle</w:t>
      </w:r>
      <w:r>
        <w:t xml:space="preserve">: raccordo economico documentato in forma non analitica.</w:t>
      </w:r>
    </w:p>
    <w:bookmarkEnd w:id="50"/>
    <w:bookmarkStart w:id="51" w:name="X961291bc165254b47387eb99035c90dd5a79b7b"/>
    <w:p>
      <w:pPr>
        <w:pStyle w:val="Heading2"/>
      </w:pPr>
      <w:r>
        <w:t xml:space="preserve">§ 7.3 — Archi in Stato Zero: il catalogo delle assenze</w:t>
      </w:r>
    </w:p>
    <w:p>
      <w:pPr>
        <w:pStyle w:val="FirstParagraph"/>
      </w:pPr>
      <w:r>
        <w:t xml:space="preserve">Si registra formalmente l’assenza di arco, verificata sistematicamente, fra le seguenti coppie.</w:t>
      </w:r>
    </w:p>
    <w:p>
      <w:pPr>
        <w:pStyle w:val="BodyText"/>
      </w:pPr>
      <w:r>
        <w:rPr>
          <w:bCs/>
          <w:b/>
        </w:rPr>
        <w:t xml:space="preserve">Universo PayPal Mafia (ventidue nodi) ↔ Aginter Press</w:t>
      </w:r>
      <w:r>
        <w:t xml:space="preserve">: nessun arco.</w:t>
      </w:r>
      <w:r>
        <w:t xml:space="preserve"> </w:t>
      </w:r>
      <w:r>
        <w:rPr>
          <w:bCs/>
          <w:b/>
        </w:rPr>
        <w:t xml:space="preserve">Universo PayPal Mafia ↔ Yves Guérin-Sérac</w:t>
      </w:r>
      <w:r>
        <w:t xml:space="preserve">: nessun arco.</w:t>
      </w:r>
      <w:r>
        <w:t xml:space="preserve"> </w:t>
      </w:r>
      <w:r>
        <w:rPr>
          <w:bCs/>
          <w:b/>
        </w:rPr>
        <w:t xml:space="preserve">Universo PayPal Mafia ↔ Stefano Delle Chiaie</w:t>
      </w:r>
      <w:r>
        <w:t xml:space="preserve">: nessun arco.</w:t>
      </w:r>
      <w:r>
        <w:t xml:space="preserve"> </w:t>
      </w:r>
      <w:r>
        <w:rPr>
          <w:bCs/>
          <w:b/>
        </w:rPr>
        <w:t xml:space="preserve">Universo PayPal Mafia ↔ Avanguardia Nazionale, Ordine Nuovo, Jeune Europe</w:t>
      </w:r>
      <w:r>
        <w:t xml:space="preserve">: nessun arco.</w:t>
      </w:r>
      <w:r>
        <w:t xml:space="preserve"> </w:t>
      </w:r>
      <w:r>
        <w:rPr>
          <w:bCs/>
          <w:b/>
        </w:rPr>
        <w:t xml:space="preserve">Universo PayPal Mafia ↔ lista NARA Foreign Scientist Case Files</w:t>
      </w:r>
      <w:r>
        <w:t xml:space="preserve">: nessun arco genealogico o operativo.</w:t>
      </w:r>
      <w:r>
        <w:t xml:space="preserve"> </w:t>
      </w:r>
      <w:r>
        <w:rPr>
          <w:bCs/>
          <w:b/>
        </w:rPr>
        <w:t xml:space="preserve">Peter Thiel ↔ Le Cercle</w:t>
      </w:r>
      <w:r>
        <w:t xml:space="preserve">: nessuna partecipazione documentata.</w:t>
      </w:r>
      <w:r>
        <w:t xml:space="preserve"> </w:t>
      </w:r>
      <w:r>
        <w:rPr>
          <w:bCs/>
          <w:b/>
        </w:rPr>
        <w:t xml:space="preserve">Dialog ↔ Le Cercle</w:t>
      </w:r>
      <w:r>
        <w:t xml:space="preserve">: nessuna relazione documentata; si tratta di entità distinte.</w:t>
      </w:r>
      <w:r>
        <w:t xml:space="preserve"> </w:t>
      </w:r>
      <w:r>
        <w:rPr>
          <w:bCs/>
          <w:b/>
        </w:rPr>
        <w:t xml:space="preserve">Roelof Botha ↔ Le Cercle</w:t>
      </w:r>
      <w:r>
        <w:t xml:space="preserve">: nessun coinvolgimento personale.</w:t>
      </w:r>
      <w:r>
        <w:t xml:space="preserve"> </w:t>
      </w:r>
      <w:r>
        <w:rPr>
          <w:bCs/>
          <w:b/>
        </w:rPr>
        <w:t xml:space="preserve">Klaus Thiel ↔ rete di sanctions-busting, ↔ Le Cercle</w:t>
      </w:r>
      <w:r>
        <w:t xml:space="preserve">: nessun arco. Il collegamento documentato si arresta all’impianto di Rössing.</w:t>
      </w:r>
      <w:r>
        <w:t xml:space="preserve"> </w:t>
      </w:r>
      <w:r>
        <w:rPr>
          <w:bCs/>
          <w:b/>
        </w:rPr>
        <w:t xml:space="preserve">Famiglie Thiel, Musk, Botha, Sacks fra loro nel periodo sudafricano</w:t>
      </w:r>
      <w:r>
        <w:t xml:space="preserve">: nessun contatto documentato.</w:t>
      </w:r>
    </w:p>
    <w:p>
      <w:pPr>
        <w:pStyle w:val="BodyText"/>
      </w:pPr>
      <w:r>
        <w:t xml:space="preserve">Il catalogo delle assenze è, quantitativamente, la parte più consistente del reticolo di sessione. Questa sproporzione è essa stessa il risultato analitico principale.</w:t>
      </w:r>
    </w:p>
    <w:p>
      <w:r>
        <w:pict>
          <v:rect style="width:0;height:1.5pt" o:hralign="center" o:hrstd="t" o:hr="t"/>
        </w:pict>
      </w:r>
    </w:p>
    <w:bookmarkEnd w:id="51"/>
    <w:bookmarkEnd w:id="52"/>
    <w:bookmarkStart w:id="53" w:name="X041b03ec86fc54f3337eb4ad630d3037e165876"/>
    <w:p>
      <w:pPr>
        <w:pStyle w:val="Heading1"/>
      </w:pPr>
      <w:r>
        <w:t xml:space="preserve">PARTE VIII — MAPPATURA SUI DOMINI DI POTERE E COPPIE INTER-DOMINIO ATTIVATE</w:t>
      </w:r>
    </w:p>
    <w:p>
      <w:pPr>
        <w:pStyle w:val="FirstParagraph"/>
      </w:pPr>
      <w:r>
        <w:t xml:space="preserve">Il corpus di sessione attiva, con densità diseguale, cinque dei dieci Domini di Potere.</w:t>
      </w:r>
    </w:p>
    <w:p>
      <w:pPr>
        <w:pStyle w:val="BodyText"/>
      </w:pPr>
      <w:r>
        <w:t xml:space="preserve">Il</w:t>
      </w:r>
      <w:r>
        <w:t xml:space="preserve"> </w:t>
      </w:r>
      <w:r>
        <w:rPr>
          <w:bCs/>
          <w:b/>
        </w:rPr>
        <w:t xml:space="preserve">Dominio 6, Economia, Finanza e Impresa</w:t>
      </w:r>
      <w:r>
        <w:t xml:space="preserve">, è il dominio prevalente: vi si collocano la totalità dei nodi PayPal, i veicoli di investimento, l’infrastruttura estrattiva di Rössing, il consorzio URENCO e le entità economiche sudafricane. È il dominio di massima densità del corpus.</w:t>
      </w:r>
    </w:p>
    <w:p>
      <w:pPr>
        <w:pStyle w:val="BodyText"/>
      </w:pPr>
      <w:r>
        <w:t xml:space="preserve">Il</w:t>
      </w:r>
      <w:r>
        <w:t xml:space="preserve"> </w:t>
      </w:r>
      <w:r>
        <w:rPr>
          <w:bCs/>
          <w:b/>
        </w:rPr>
        <w:t xml:space="preserve">Dominio 2, Potere Politico</w:t>
      </w:r>
      <w:r>
        <w:t xml:space="preserve">, è attivato attraverso il Dipartimento degli Esteri sudafricano, la Commissione Khan, gli Accordi di New York, i finanziamenti politici del cluster tecnologico e la carica ambasciatoriale di Howery.</w:t>
      </w:r>
    </w:p>
    <w:p>
      <w:pPr>
        <w:pStyle w:val="BodyText"/>
      </w:pPr>
      <w:r>
        <w:t xml:space="preserve">Il</w:t>
      </w:r>
      <w:r>
        <w:t xml:space="preserve"> </w:t>
      </w:r>
      <w:r>
        <w:rPr>
          <w:bCs/>
          <w:b/>
        </w:rPr>
        <w:t xml:space="preserve">Dominio 4, Massoneria e Società Segrete</w:t>
      </w:r>
      <w:r>
        <w:t xml:space="preserve">, è attivato attraverso Le Cercle, che ne costituisce l’unica occorrenza rilevante. La collocazione di Le Cercle in D4 anziché in D2 è motivata dal criterio delle regole operative proprie: il foro opera secondo il codice riservato/pubblico tipico delle società a reclutamento selettivo e non secondo il codice governo/opposizione.</w:t>
      </w:r>
    </w:p>
    <w:p>
      <w:pPr>
        <w:pStyle w:val="BodyText"/>
      </w:pPr>
      <w:r>
        <w:t xml:space="preserve">Il</w:t>
      </w:r>
      <w:r>
        <w:t xml:space="preserve"> </w:t>
      </w:r>
      <w:r>
        <w:rPr>
          <w:bCs/>
          <w:b/>
        </w:rPr>
        <w:t xml:space="preserve">Dominio 3, Intelligence</w:t>
      </w:r>
      <w:r>
        <w:t xml:space="preserve">, è attivato indirettamente attraverso la componente securocratica statunitense presente alla riunione di Stellenbosch e attraverso l’apparato di violazione delle sanzioni.</w:t>
      </w:r>
    </w:p>
    <w:p>
      <w:pPr>
        <w:pStyle w:val="BodyText"/>
      </w:pPr>
      <w:r>
        <w:t xml:space="preserve">Il</w:t>
      </w:r>
      <w:r>
        <w:t xml:space="preserve"> </w:t>
      </w:r>
      <w:r>
        <w:rPr>
          <w:bCs/>
          <w:b/>
        </w:rPr>
        <w:t xml:space="preserve">Dominio 9, Forze Armate</w:t>
      </w:r>
      <w:r>
        <w:t xml:space="preserve">, è attivato attraverso la figura del generale Fraser, attraverso la destinazione strategica del minerale di Rössing e attraverso la componente aerospaziale del cluster tecnologico.</w:t>
      </w:r>
    </w:p>
    <w:p>
      <w:pPr>
        <w:pStyle w:val="BodyText"/>
      </w:pPr>
      <w:r>
        <w:t xml:space="preserve">Le</w:t>
      </w:r>
      <w:r>
        <w:t xml:space="preserve"> </w:t>
      </w:r>
      <w:r>
        <w:rPr>
          <w:bCs/>
          <w:b/>
        </w:rPr>
        <w:t xml:space="preserve">coppie inter-dominio effettivamente attivate</w:t>
      </w:r>
      <w:r>
        <w:t xml:space="preserve"> </w:t>
      </w:r>
      <w:r>
        <w:t xml:space="preserve">dal corpus sono quattro. La coppia</w:t>
      </w:r>
      <w:r>
        <w:t xml:space="preserve"> </w:t>
      </w:r>
      <w:r>
        <w:rPr>
          <w:bCs/>
          <w:b/>
        </w:rPr>
        <w:t xml:space="preserve">D2 × D4</w:t>
      </w:r>
      <w:r>
        <w:t xml:space="preserve">, Politica per Società Segrete, è la più densa e coincide con l’arco Dipartimento degli Esteri – Le Cercle. La coppia</w:t>
      </w:r>
      <w:r>
        <w:t xml:space="preserve"> </w:t>
      </w:r>
      <w:r>
        <w:rPr>
          <w:bCs/>
          <w:b/>
        </w:rPr>
        <w:t xml:space="preserve">D6 × D2</w:t>
      </w:r>
      <w:r>
        <w:t xml:space="preserve">, Economia per Politica, è attivata dal finanziamento politico del cluster tecnologico e dall’assetto proprietario di Rössing. La coppia</w:t>
      </w:r>
      <w:r>
        <w:t xml:space="preserve"> </w:t>
      </w:r>
      <w:r>
        <w:rPr>
          <w:bCs/>
          <w:b/>
        </w:rPr>
        <w:t xml:space="preserve">D6 × D9</w:t>
      </w:r>
      <w:r>
        <w:t xml:space="preserve">, Economia per Forze Armate, è attivata dalla filiera dell’uranio. La coppia</w:t>
      </w:r>
      <w:r>
        <w:t xml:space="preserve"> </w:t>
      </w:r>
      <w:r>
        <w:rPr>
          <w:bCs/>
          <w:b/>
        </w:rPr>
        <w:t xml:space="preserve">D2 × D9</w:t>
      </w:r>
      <w:r>
        <w:t xml:space="preserve">, Politica per Forze Armate, è attivata dalla presenza di Fraser come ospite ufficiale di una riunione organizzata dal dicastero degli esteri.</w:t>
      </w:r>
    </w:p>
    <w:p>
      <w:pPr>
        <w:pStyle w:val="BodyText"/>
      </w:pPr>
      <w:r>
        <w:t xml:space="preserve">Le coppie</w:t>
      </w:r>
      <w:r>
        <w:t xml:space="preserve"> </w:t>
      </w:r>
      <w:r>
        <w:rPr>
          <w:bCs/>
          <w:b/>
        </w:rPr>
        <w:t xml:space="preserve">non attivate</w:t>
      </w:r>
      <w:r>
        <w:t xml:space="preserve"> </w:t>
      </w:r>
      <w:r>
        <w:t xml:space="preserve">e attese in ragione delle famiglie documentali di progetto sono, significativamente, quelle che avrebbero costituito il ponte cercato:</w:t>
      </w:r>
      <w:r>
        <w:t xml:space="preserve"> </w:t>
      </w:r>
      <w:r>
        <w:rPr>
          <w:bCs/>
          <w:b/>
        </w:rPr>
        <w:t xml:space="preserve">D6 × D7</w:t>
      </w:r>
      <w:r>
        <w:t xml:space="preserve">, Economia per Terrorismo, e</w:t>
      </w:r>
      <w:r>
        <w:t xml:space="preserve"> </w:t>
      </w:r>
      <w:r>
        <w:rPr>
          <w:bCs/>
          <w:b/>
        </w:rPr>
        <w:t xml:space="preserve">D6 × D3</w:t>
      </w:r>
      <w:r>
        <w:t xml:space="preserve">, Economia per Intelligence, nella loro declinazione eversiva. La loro mancata attivazione è il dato negativo strutturale della sessione.</w:t>
      </w:r>
    </w:p>
    <w:p>
      <w:pPr>
        <w:pStyle w:val="BodyText"/>
      </w:pPr>
      <w:r>
        <w:t xml:space="preserve">Si registra infine, ai fini del</w:t>
      </w:r>
      <w:r>
        <w:t xml:space="preserve"> </w:t>
      </w:r>
      <w:r>
        <w:rPr>
          <w:bCs/>
          <w:b/>
        </w:rPr>
        <w:t xml:space="preserve">Pattern 11</w:t>
      </w:r>
      <w:r>
        <w:t xml:space="preserve">, un’osservazione di isomorfismo. La topologia di Le Cercle — nucleo ristretto e riservato che irradia verso i vertici di una pluralità di domini nazionali distinti — presenta somiglianza strutturale con la topologia già registrata nel corpus permanente per la P2 e per la rete stay-behind. La Nota Metodologica prescrive che l’isomorfismo ammetta tre spiegazioni concorrenti: origine comune, necessità funzionale, convergenza indipendente. Allo stato del corpus di sessione, l’ipotesi della</w:t>
      </w:r>
      <w:r>
        <w:t xml:space="preserve"> </w:t>
      </w:r>
      <w:r>
        <w:rPr>
          <w:bCs/>
          <w:b/>
        </w:rPr>
        <w:t xml:space="preserve">necessità funzionale</w:t>
      </w:r>
      <w:r>
        <w:t xml:space="preserve"> </w:t>
      </w:r>
      <w:r>
        <w:t xml:space="preserve">— la struttura a nucleo irradiante è semplicemente la più efficiente per il compito di collegare trasversalmente domini autonomi — è quella meno contraddetta dalle evidenze disponibili, e va preferita in assenza di documentazione su un progettista comune. Si segnala tuttavia che la menzione dell’</w:t>
      </w:r>
      <w:r>
        <w:rPr>
          <w:bCs/>
          <w:b/>
        </w:rPr>
        <w:t xml:space="preserve">Italia</w:t>
      </w:r>
      <w:r>
        <w:t xml:space="preserve"> </w:t>
      </w:r>
      <w:r>
        <w:t xml:space="preserve">fra le nazionalità partecipanti a Le Cercle nella definizione della Commissione Khan apre un vettore di verifica sull’ipotesi di origine comune che il corpus di sessione non è in grado di chiudere.</w:t>
      </w:r>
    </w:p>
    <w:p>
      <w:r>
        <w:pict>
          <v:rect style="width:0;height:1.5pt" o:hralign="center" o:hrstd="t" o:hr="t"/>
        </w:pict>
      </w:r>
    </w:p>
    <w:bookmarkEnd w:id="53"/>
    <w:bookmarkStart w:id="58" w:name="X9c4dfa2c4552ea1812b2901af2f5e2732df0976"/>
    <w:p>
      <w:pPr>
        <w:pStyle w:val="Heading1"/>
      </w:pPr>
      <w:r>
        <w:t xml:space="preserve">PARTE IX — ESITO FALSIFICAZIONISTA E ANALYSIS OF COMPETING HYPOTHESES</w:t>
      </w:r>
    </w:p>
    <w:bookmarkStart w:id="54" w:name="formulazione-delle-ipotesi-concorrenti"/>
    <w:p>
      <w:pPr>
        <w:pStyle w:val="Heading2"/>
      </w:pPr>
      <w:r>
        <w:t xml:space="preserve">§ 9.1 — Formulazione delle ipotesi concorrenti</w:t>
      </w:r>
    </w:p>
    <w:p>
      <w:pPr>
        <w:pStyle w:val="FirstParagraph"/>
      </w:pPr>
      <w:r>
        <w:t xml:space="preserve">L’ipotesi di lavoro sottoposta a verifica nella sessione, derivata dalla Direttiva Gerarchica e dall’istruzione conclusiva dell’autore-direttore, può essere formulata come segue:</w:t>
      </w:r>
      <w:r>
        <w:t xml:space="preserve"> </w:t>
      </w:r>
      <w:r>
        <w:rPr>
          <w:iCs/>
          <w:i/>
        </w:rPr>
        <w:t xml:space="preserve">esiste una relazione di continuità fra le reti di potere occulto novecentesche documentate nel corpus di progetto e il cluster imprenditoriale contemporaneo designato come PayPal Mafia</w:t>
      </w:r>
      <w:r>
        <w:t xml:space="preserve">.</w:t>
      </w:r>
    </w:p>
    <w:p>
      <w:pPr>
        <w:pStyle w:val="BodyText"/>
      </w:pPr>
      <w:r>
        <w:t xml:space="preserve">Secondo la procedura di Heuer, sono state formulate tre ipotesi concorrenti.</w:t>
      </w:r>
    </w:p>
    <w:p>
      <w:pPr>
        <w:pStyle w:val="BodyText"/>
      </w:pPr>
      <w:r>
        <w:rPr>
          <w:bCs/>
          <w:b/>
        </w:rPr>
        <w:t xml:space="preserve">Ipotesi 1 — Continuità reticolare.</w:t>
      </w:r>
      <w:r>
        <w:t xml:space="preserve"> </w:t>
      </w:r>
      <w:r>
        <w:t xml:space="preserve">Il cluster PayPal costituisce una prosecuzione, per via familiare o organizzativa, delle reti dell’apartheid, della diaspora nazista o della rete controrivoluzionaria europea.</w:t>
      </w:r>
    </w:p>
    <w:p>
      <w:pPr>
        <w:pStyle w:val="BodyText"/>
      </w:pPr>
      <w:r>
        <w:rPr>
          <w:bCs/>
          <w:b/>
        </w:rPr>
        <w:t xml:space="preserve">Ipotesi 2 — Continuità ambientale.</w:t>
      </w:r>
      <w:r>
        <w:t xml:space="preserve"> </w:t>
      </w:r>
      <w:r>
        <w:t xml:space="preserve">Il cluster PayPal non prosegue alcuna rete, ma alcuni dei suoi membri apicali si sono formati in un ambiente politico e sociale — il Sudafrica dell’apartheid e la Namibia occupata — le cui strutture di potere e le cui premesse ideologiche hanno lasciato tracce nelle loro disposizioni politiche successive.</w:t>
      </w:r>
    </w:p>
    <w:p>
      <w:pPr>
        <w:pStyle w:val="BodyText"/>
      </w:pPr>
      <w:r>
        <w:rPr>
          <w:bCs/>
          <w:b/>
        </w:rPr>
        <w:t xml:space="preserve">Ipotesi 3 — Coincidenza demografica.</w:t>
      </w:r>
      <w:r>
        <w:t xml:space="preserve"> </w:t>
      </w:r>
      <w:r>
        <w:t xml:space="preserve">La sovra-rappresentazione sudafricana nel cluster è un artefatto dei flussi migratori bianchi anglofoni verso gli Stati Uniti negli anni Ottanta e Novanta e non ha alcun significato strutturale.</w:t>
      </w:r>
    </w:p>
    <w:bookmarkEnd w:id="54"/>
    <w:bookmarkStart w:id="55" w:name="X498e48da3a621b0ebfcf4d58a6facdd2cf16dab"/>
    <w:p>
      <w:pPr>
        <w:pStyle w:val="Heading2"/>
      </w:pPr>
      <w:r>
        <w:t xml:space="preserve">§ 9.2 — Matrice di consistenza e valutazione diagnostica</w:t>
      </w:r>
    </w:p>
    <w:p>
      <w:pPr>
        <w:pStyle w:val="FirstParagraph"/>
      </w:pPr>
      <w:r>
        <w:t xml:space="preserve">L’evidenza dirimente non è quella che conferma, ma quella che discrimina. Le evidenze diagnostiche identificate sono tre.</w:t>
      </w:r>
    </w:p>
    <w:p>
      <w:pPr>
        <w:pStyle w:val="BodyText"/>
      </w:pPr>
      <w:r>
        <w:t xml:space="preserve">La prima evidenza diagnostica è l’</w:t>
      </w:r>
      <w:r>
        <w:rPr>
          <w:bCs/>
          <w:b/>
        </w:rPr>
        <w:t xml:space="preserve">assenza integrale di archi</w:t>
      </w:r>
      <w:r>
        <w:t xml:space="preserve"> </w:t>
      </w:r>
      <w:r>
        <w:t xml:space="preserve">fra i ventidue nodi censiti e le organizzazioni eversive del corpus. Questa evidenza è</w:t>
      </w:r>
      <w:r>
        <w:t xml:space="preserve"> </w:t>
      </w:r>
      <w:r>
        <w:rPr>
          <w:bCs/>
          <w:b/>
        </w:rPr>
        <w:t xml:space="preserve">fortemente incoerente con l’Ipotesi 1</w:t>
      </w:r>
      <w:r>
        <w:t xml:space="preserve">, neutra rispetto all’Ipotesi 2, coerente con l’Ipotesi 3.</w:t>
      </w:r>
    </w:p>
    <w:p>
      <w:pPr>
        <w:pStyle w:val="BodyText"/>
      </w:pPr>
      <w:r>
        <w:t xml:space="preserve">La seconda evidenza diagnostica è l’</w:t>
      </w:r>
      <w:r>
        <w:rPr>
          <w:bCs/>
          <w:b/>
        </w:rPr>
        <w:t xml:space="preserve">assenza di contatto documentato fra le famiglie</w:t>
      </w:r>
      <w:r>
        <w:t xml:space="preserve"> </w:t>
      </w:r>
      <w:r>
        <w:t xml:space="preserve">Thiel, Musk, Botha e Sacks nel periodo sudafricano, a fronte di una fortissima prossimità spaziale e temporale. Questa evidenza è</w:t>
      </w:r>
      <w:r>
        <w:t xml:space="preserve"> </w:t>
      </w:r>
      <w:r>
        <w:rPr>
          <w:bCs/>
          <w:b/>
        </w:rPr>
        <w:t xml:space="preserve">incoerente con l’Ipotesi 1</w:t>
      </w:r>
      <w:r>
        <w:t xml:space="preserve">, che richiederebbe una struttura relazionale preesistente, e compatibile tanto con l’Ipotesi 2 quanto con l’Ipotesi 3.</w:t>
      </w:r>
    </w:p>
    <w:p>
      <w:pPr>
        <w:pStyle w:val="BodyText"/>
      </w:pPr>
      <w:r>
        <w:t xml:space="preserve">La terza evidenza diagnostica è la</w:t>
      </w:r>
      <w:r>
        <w:t xml:space="preserve"> </w:t>
      </w:r>
      <w:r>
        <w:rPr>
          <w:bCs/>
          <w:b/>
        </w:rPr>
        <w:t xml:space="preserve">presenza, nel medesimo cluster, di nodi di polarità politica opposta e di traiettoria biografica antitetica</w:t>
      </w:r>
      <w:r>
        <w:t xml:space="preserve"> </w:t>
      </w:r>
      <w:r>
        <w:t xml:space="preserve">— segnatamente Levchin, rifugiato dalla persecuzione antisemita sovietica, e Hoffman, finanziatore di orientamento progressista. Questa evidenza è</w:t>
      </w:r>
      <w:r>
        <w:t xml:space="preserve"> </w:t>
      </w:r>
      <w:r>
        <w:rPr>
          <w:bCs/>
          <w:b/>
        </w:rPr>
        <w:t xml:space="preserve">fortemente incoerente con l’Ipotesi 1</w:t>
      </w:r>
      <w:r>
        <w:t xml:space="preserve">, che richiederebbe omogeneità del reticolo,</w:t>
      </w:r>
      <w:r>
        <w:t xml:space="preserve"> </w:t>
      </w:r>
      <w:r>
        <w:rPr>
          <w:bCs/>
          <w:b/>
        </w:rPr>
        <w:t xml:space="preserve">parzialmente incoerente con l’Ipotesi 3</w:t>
      </w:r>
      <w:r>
        <w:t xml:space="preserve">, che non spiegherebbe la concentrazione sudafricana ai vertici, e</w:t>
      </w:r>
      <w:r>
        <w:t xml:space="preserve"> </w:t>
      </w:r>
      <w:r>
        <w:rPr>
          <w:bCs/>
          <w:b/>
        </w:rPr>
        <w:t xml:space="preserve">coerente con l’Ipotesi 2</w:t>
      </w:r>
      <w:r>
        <w:t xml:space="preserve">, che ammette la coesistenza di traiettorie diverse entro una medesima impresa.</w:t>
      </w:r>
    </w:p>
    <w:bookmarkEnd w:id="55"/>
    <w:bookmarkStart w:id="56" w:name="Xb4fc9b679df9432ec70bab4c21bbb3c45a34d07"/>
    <w:p>
      <w:pPr>
        <w:pStyle w:val="Heading2"/>
      </w:pPr>
      <w:r>
        <w:t xml:space="preserve">§ 9.3 — Conclusione provvisoria e condizioni di falsificazione</w:t>
      </w:r>
    </w:p>
    <w:p>
      <w:pPr>
        <w:pStyle w:val="FirstParagraph"/>
      </w:pPr>
      <w:r>
        <w:t xml:space="preserve">L’ipotesi</w:t>
      </w:r>
      <w:r>
        <w:t xml:space="preserve"> </w:t>
      </w:r>
      <w:r>
        <w:rPr>
          <w:bCs/>
          <w:b/>
        </w:rPr>
        <w:t xml:space="preserve">meno contraddetta dalle evidenze disponibili è l’Ipotesi 2, continuità ambientale</w:t>
      </w:r>
      <w:r>
        <w:t xml:space="preserve">. Essa spiega la concentrazione sudafricana ai vertici del cluster senza postulare una struttura reticolare che nessuna evidenza sostiene, e ammette la presenza di nodi eterogenei che l’Ipotesi 1 non potrebbe accogliere.</w:t>
      </w:r>
    </w:p>
    <w:p>
      <w:pPr>
        <w:pStyle w:val="BodyText"/>
      </w:pPr>
      <w:r>
        <w:t xml:space="preserve">L’</w:t>
      </w:r>
      <w:r>
        <w:rPr>
          <w:bCs/>
          <w:b/>
        </w:rPr>
        <w:t xml:space="preserve">Ipotesi 1 è provvisoriamente falsificata</w:t>
      </w:r>
      <w:r>
        <w:t xml:space="preserve"> </w:t>
      </w:r>
      <w:r>
        <w:t xml:space="preserve">sulla base del corpus attualmente disponibile. La falsificazione va registrata come tale, non come sospensione del giudizio: allo stato, l’affermazione di una continuità reticolare fra PayPal Mafia e reti eversive novecentesche non è sostenuta da alcuna evidenza e va considerata priva di fondamento probatorio.</w:t>
      </w:r>
    </w:p>
    <w:p>
      <w:pPr>
        <w:pStyle w:val="BodyText"/>
      </w:pPr>
      <w:r>
        <w:t xml:space="preserve">In conformità al principio popperiano assunto dalla Nota Metodologica, si indicano le</w:t>
      </w:r>
      <w:r>
        <w:t xml:space="preserve"> </w:t>
      </w:r>
      <w:r>
        <w:rPr>
          <w:bCs/>
          <w:b/>
        </w:rPr>
        <w:t xml:space="preserve">evidenze che, se scoperte, falsificherebbero la presente conclusione</w:t>
      </w:r>
      <w:r>
        <w:t xml:space="preserve"> </w:t>
      </w:r>
      <w:r>
        <w:t xml:space="preserve">e riabiliterebbero l’Ipotesi 1. Sono tre e vanno registrate come agenda di ricerca vincolante.</w:t>
      </w:r>
    </w:p>
    <w:p>
      <w:pPr>
        <w:pStyle w:val="BodyText"/>
      </w:pPr>
      <w:r>
        <w:t xml:space="preserve">Prima: documentazione che attesti la partecipazione o il finanziamento, da parte di un membro della PayPal Mafia, di Le Cercle o di un suo ente successore o derivato.</w:t>
      </w:r>
    </w:p>
    <w:p>
      <w:pPr>
        <w:pStyle w:val="BodyText"/>
      </w:pPr>
      <w:r>
        <w:t xml:space="preserve">Seconda: prova genealogica che colleghi un membro della PayPal Mafia a uno degli scienziati censiti nella lista NARA con ruolo attivo documentato nei programmi di trasferimento.</w:t>
      </w:r>
    </w:p>
    <w:p>
      <w:pPr>
        <w:pStyle w:val="BodyText"/>
      </w:pPr>
      <w:r>
        <w:t xml:space="preserve">Terza: documentazione che colleghi Klaus Thiel non soltanto all’impianto di Rössing come ingegnere, ma alle operazioni della rete di violazione delle sanzioni o al circuito di Le Cercle.</w:t>
      </w:r>
    </w:p>
    <w:p>
      <w:pPr>
        <w:pStyle w:val="BodyText"/>
      </w:pPr>
      <w:r>
        <w:t xml:space="preserve">Nessuna di queste tre evidenze è oggi disponibile. La loro ricerca costituisce il mandato prioritario delle sessioni successive.</w:t>
      </w:r>
    </w:p>
    <w:bookmarkEnd w:id="56"/>
    <w:bookmarkStart w:id="57" w:name="X7bc5ed5ef24615f408f797abe0520014e5f3b6f"/>
    <w:p>
      <w:pPr>
        <w:pStyle w:val="Heading2"/>
      </w:pPr>
      <w:r>
        <w:t xml:space="preserve">§ 9.4 — Registrazione della tensione strutturale del corpus</w:t>
      </w:r>
    </w:p>
    <w:p>
      <w:pPr>
        <w:pStyle w:val="FirstParagraph"/>
      </w:pPr>
      <w:r>
        <w:t xml:space="preserve">Si registra, come dato metodologico e non come rilievo polemico, la tensione fra l’Unità Documentale 1 e l’Unità Documentale 2. La Nota Metodologica prescrive che la struttura dell’opera non sia organizzata attorno a un’ipotesi ma attorno ai dati, e nomina esplicitamente come rischio paradigmatico la costruzione concentrica attorno alla tesi della convergenza segreta russo-americana contro l’integrazione europea. La Direttiva Gerarchica enuncia tale tesi come premessa e prescrive un approccio a cerchi concentrici.</w:t>
      </w:r>
    </w:p>
    <w:p>
      <w:pPr>
        <w:pStyle w:val="BodyText"/>
      </w:pPr>
      <w:r>
        <w:t xml:space="preserve">La composizione della tensione adottata nella presente compilazione è la seguente: la Direttiva Gerarchica è assunta come</w:t>
      </w:r>
      <w:r>
        <w:t xml:space="preserve"> </w:t>
      </w:r>
      <w:r>
        <w:rPr>
          <w:bCs/>
          <w:b/>
        </w:rPr>
        <w:t xml:space="preserve">euristica di ricerca</w:t>
      </w:r>
      <w:r>
        <w:t xml:space="preserve">, ossia come criterio di selezione di ciò che merita di essere cercato, e non come</w:t>
      </w:r>
      <w:r>
        <w:t xml:space="preserve"> </w:t>
      </w:r>
      <w:r>
        <w:rPr>
          <w:bCs/>
          <w:b/>
        </w:rPr>
        <w:t xml:space="preserve">premessa probatoria</w:t>
      </w:r>
      <w:r>
        <w:t xml:space="preserve">, ossia come ciò che si dà per acquisito. In questa qualità essa è pienamente legittima e anzi produttiva: è precisamente l’euristica gerarchica ad avere generato l’istruzione di triangolazione che ha prodotto il risultato — negativo ma solido — della presente sessione. La distinzione fra euristica di ricerca e premessa probatoria è la garanzia che il progetto non incorra nella condizione del tacchino di Russell, e va mantenuta come regola permanente nelle compilazioni successive.</w:t>
      </w:r>
    </w:p>
    <w:p>
      <w:r>
        <w:pict>
          <v:rect style="width:0;height:1.5pt" o:hralign="center" o:hrstd="t" o:hr="t"/>
        </w:pict>
      </w:r>
    </w:p>
    <w:bookmarkEnd w:id="57"/>
    <w:bookmarkEnd w:id="58"/>
    <w:bookmarkStart w:id="62" w:name="X4b432fed8d6c968f67c12e453f5c9459dcf6cd2"/>
    <w:p>
      <w:pPr>
        <w:pStyle w:val="Heading1"/>
      </w:pPr>
      <w:r>
        <w:t xml:space="preserve">PARTE X — LACUNE RESIDUE E AGENDA DI VERIFICA</w:t>
      </w:r>
    </w:p>
    <w:bookmarkStart w:id="59" w:name="lacune-documentali-di-primo-ordine"/>
    <w:p>
      <w:pPr>
        <w:pStyle w:val="Heading2"/>
      </w:pPr>
      <w:r>
        <w:t xml:space="preserve">§ 10.1 — Lacune documentali di primo ordine</w:t>
      </w:r>
    </w:p>
    <w:p>
      <w:pPr>
        <w:pStyle w:val="FirstParagraph"/>
      </w:pPr>
      <w:r>
        <w:rPr>
          <w:bCs/>
          <w:b/>
        </w:rPr>
        <w:t xml:space="preserve">Lacuna 1.</w:t>
      </w:r>
      <w:r>
        <w:t xml:space="preserve"> </w:t>
      </w:r>
      <w:r>
        <w:t xml:space="preserve">Ruolo esatto, datazione e catena gerarchica dell’incarico di Klaus Thiel presso l’impianto di Rössing. Fonte da acquisire: archivi aziendali Rio Tinto e Rössing Uranium, registri di impiego namibiani, archivi della Industrial Development Corporation. Priorità: massima. È l’unico punto in cui il cluster PayPal tocca materialmente l’infrastruttura del regime.</w:t>
      </w:r>
    </w:p>
    <w:p>
      <w:pPr>
        <w:pStyle w:val="BodyText"/>
      </w:pPr>
      <w:r>
        <w:rPr>
          <w:bCs/>
          <w:b/>
        </w:rPr>
        <w:t xml:space="preserve">Lacuna 2.</w:t>
      </w:r>
      <w:r>
        <w:t xml:space="preserve"> </w:t>
      </w:r>
      <w:r>
        <w:t xml:space="preserve">Verifica sul testo originale di</w:t>
      </w:r>
      <w:r>
        <w:t xml:space="preserve"> </w:t>
      </w:r>
      <w:r>
        <w:rPr>
          <w:iCs/>
          <w:i/>
        </w:rPr>
        <w:t xml:space="preserve">Apartheid, Guns and Money</w:t>
      </w:r>
      <w:r>
        <w:t xml:space="preserve"> </w:t>
      </w:r>
      <w:r>
        <w:t xml:space="preserve">dell’importo del contributo sudafricano al bilancio del segretariato di Le Cercle e del meccanismo di movimentazione. Il dato circola attraverso canali secondari di affidabilità disomogenea. Priorità: alta.</w:t>
      </w:r>
    </w:p>
    <w:p>
      <w:pPr>
        <w:pStyle w:val="BodyText"/>
      </w:pPr>
      <w:r>
        <w:rPr>
          <w:bCs/>
          <w:b/>
        </w:rPr>
        <w:t xml:space="preserve">Lacuna 3.</w:t>
      </w:r>
      <w:r>
        <w:t xml:space="preserve"> </w:t>
      </w:r>
      <w:r>
        <w:t xml:space="preserve">Identificazione dei partecipanti</w:t>
      </w:r>
      <w:r>
        <w:t xml:space="preserve"> </w:t>
      </w:r>
      <w:r>
        <w:rPr>
          <w:bCs/>
          <w:b/>
        </w:rPr>
        <w:t xml:space="preserve">italiani</w:t>
      </w:r>
      <w:r>
        <w:t xml:space="preserve"> </w:t>
      </w:r>
      <w:r>
        <w:t xml:space="preserve">a Le Cercle nel periodo di sostegno all’apartheid. La Commissione Khan elenca l’Italia fra le nazionalità rappresentate, ma il corpus di sessione non contiene alcun nominativo. Priorità:</w:t>
      </w:r>
      <w:r>
        <w:t xml:space="preserve"> </w:t>
      </w:r>
      <w:r>
        <w:rPr>
          <w:bCs/>
          <w:b/>
        </w:rPr>
        <w:t xml:space="preserve">massima</w:t>
      </w:r>
      <w:r>
        <w:t xml:space="preserve">, in quanto è il punto in cui il corpus di sessione potrebbe innestarsi direttamente sul corpus permanente italiano del progetto, e in quanto costituisce il vettore più promettente per la prosecuzione dell’indagine secondo la gerarchia dell’autore-direttore.</w:t>
      </w:r>
    </w:p>
    <w:p>
      <w:pPr>
        <w:pStyle w:val="BodyText"/>
      </w:pPr>
      <w:r>
        <w:rPr>
          <w:bCs/>
          <w:b/>
        </w:rPr>
        <w:t xml:space="preserve">Lacuna 4.</w:t>
      </w:r>
      <w:r>
        <w:t xml:space="preserve"> </w:t>
      </w:r>
      <w:r>
        <w:t xml:space="preserve">Verifica della partecipazione personale di Pik Botha alle riunioni di Le Cercle, attualmente attestata solo da fonte auto-pubblicata. Priorità: media.</w:t>
      </w:r>
    </w:p>
    <w:p>
      <w:pPr>
        <w:pStyle w:val="BodyText"/>
      </w:pPr>
      <w:r>
        <w:rPr>
          <w:bCs/>
          <w:b/>
        </w:rPr>
        <w:t xml:space="preserve">Lacuna 5.</w:t>
      </w:r>
      <w:r>
        <w:t xml:space="preserve"> </w:t>
      </w:r>
      <w:r>
        <w:t xml:space="preserve">Ricostruzione genealogica del ramo Thiel dalla Prussia orientale, con verifica dell’assenza di sovrapposizioni con la lista NARA. Priorità: media, con finalità di chiusura definitiva dello Stato Zero.</w:t>
      </w:r>
    </w:p>
    <w:bookmarkEnd w:id="59"/>
    <w:bookmarkStart w:id="60" w:name="lacune-analitiche-di-secondo-ordine"/>
    <w:p>
      <w:pPr>
        <w:pStyle w:val="Heading2"/>
      </w:pPr>
      <w:r>
        <w:t xml:space="preserve">§ 10.2 — Lacune analitiche di secondo ordine</w:t>
      </w:r>
    </w:p>
    <w:p>
      <w:pPr>
        <w:pStyle w:val="FirstParagraph"/>
      </w:pPr>
      <w:r>
        <w:rPr>
          <w:bCs/>
          <w:b/>
        </w:rPr>
        <w:t xml:space="preserve">Lacuna 6.</w:t>
      </w:r>
      <w:r>
        <w:t xml:space="preserve"> </w:t>
      </w:r>
      <w:r>
        <w:t xml:space="preserve">Mappatura del portafoglio Founders Fund nei settori estrattivo, della difesa e della sicurezza, con verifica di eventuali continuità con l’infrastruttura descritta. Il corpus di sessione non contiene tale mappatura.</w:t>
      </w:r>
    </w:p>
    <w:p>
      <w:pPr>
        <w:pStyle w:val="BodyText"/>
      </w:pPr>
      <w:r>
        <w:rPr>
          <w:bCs/>
          <w:b/>
        </w:rPr>
        <w:t xml:space="preserve">Lacuna 7.</w:t>
      </w:r>
      <w:r>
        <w:t xml:space="preserve"> </w:t>
      </w:r>
      <w:r>
        <w:t xml:space="preserve">Analisi della famiglia documentale Ordre et Tradition in relazione a Le Cercle, già presente in cartella e non attivata nella presente sessione.</w:t>
      </w:r>
    </w:p>
    <w:p>
      <w:pPr>
        <w:pStyle w:val="BodyText"/>
      </w:pPr>
      <w:r>
        <w:rPr>
          <w:bCs/>
          <w:b/>
        </w:rPr>
        <w:t xml:space="preserve">Lacuna 8.</w:t>
      </w:r>
      <w:r>
        <w:t xml:space="preserve"> </w:t>
      </w:r>
      <w:r>
        <w:t xml:space="preserve">Verifica dell’ipotesi di isomorfismo Le Cercle – P2 – stay-behind mediante comparazione formale delle strutture interne, dei periodi di formazione e dei contesti operativi, secondo la procedura del Pattern 11. Il corpus di sessione consente solo l’osservazione qualitativa.</w:t>
      </w:r>
    </w:p>
    <w:p>
      <w:pPr>
        <w:pStyle w:val="BodyText"/>
      </w:pPr>
      <w:r>
        <w:rPr>
          <w:bCs/>
          <w:b/>
        </w:rPr>
        <w:t xml:space="preserve">Lacuna 9.</w:t>
      </w:r>
      <w:r>
        <w:t xml:space="preserve"> </w:t>
      </w:r>
      <w:r>
        <w:t xml:space="preserve">Assenza integrale, nel corpus di sessione, di nodi appartenenti ai Domini D1 criminalità organizzata, D5 istituzioni religiose, D7 terrorismo, D8 media e D10 magistratura. Tale assenza limita fortemente la generalizzabilità delle conclusioni e va colmata prima di qualsiasi innesto narrativo del presente Registro nelle sezioni discorsive dell’opera.</w:t>
      </w:r>
    </w:p>
    <w:bookmarkEnd w:id="60"/>
    <w:bookmarkStart w:id="61" w:name="statistiche-di-compilazione"/>
    <w:p>
      <w:pPr>
        <w:pStyle w:val="Heading2"/>
      </w:pPr>
      <w:r>
        <w:t xml:space="preserve">§ 10.3 — Statistiche di compilazione</w:t>
      </w:r>
    </w:p>
    <w:p>
      <w:pPr>
        <w:pStyle w:val="FirstParagraph"/>
      </w:pPr>
      <w:r>
        <w:t xml:space="preserve">Nodi-persona censiti: sessantasei, di cui quarantasei nodi-canone, ventidue nodi PayPal e diciotto nodi di contesto, con sovrapposizioni. Nodi-organizzazione censiti: ventotto. Nodi-luogo censiti: sedici. Nodi-evento censiti: ventiquattro. Nodi-concetto introdotti ex novo: cinque. Archi di Livello A registrati: dodici. Archi di Livello B registrati: quattro. Archi in Stato Zero registrati: dieci coppie o famiglie di coppie. Coppie inter-dominio attivate: quattro su quarantacinque possibili. Pattern attivati: sei su undici. Ipotesi sottoposte ad ACH: tre. Ipotesi provvisoriamente falsificate: una.</w:t>
      </w:r>
    </w:p>
    <w:p>
      <w:r>
        <w:pict>
          <v:rect style="width:0;height:1.5pt" o:hralign="center" o:hrstd="t" o:hr="t"/>
        </w:pict>
      </w:r>
    </w:p>
    <w:bookmarkEnd w:id="61"/>
    <w:bookmarkEnd w:id="62"/>
    <w:bookmarkStart w:id="63" w:name="Xcc0f60ac5d62a6369dbe98a6001130950e2a843"/>
    <w:p>
      <w:pPr>
        <w:pStyle w:val="Heading1"/>
      </w:pPr>
      <w:r>
        <w:t xml:space="preserve">CHIUSURA DEL REGISTRO ANALITICO DEI NODI DI SESSIONE</w:t>
      </w:r>
    </w:p>
    <w:p>
      <w:pPr>
        <w:pStyle w:val="FirstParagraph"/>
      </w:pPr>
      <w:r>
        <w:t xml:space="preserve">La presente compilazione si chiude con il consolidamento delle dieci Parti costitutive. Il risultato analitico principale è di natura negativa e va enunciato senza attenuazioni:</w:t>
      </w:r>
      <w:r>
        <w:t xml:space="preserve"> </w:t>
      </w:r>
      <w:r>
        <w:rPr>
          <w:bCs/>
          <w:b/>
        </w:rPr>
        <w:t xml:space="preserve">esiste un cluster sudafricano-namibiano reale e documentato ai vertici della PayPal Mafia, di natura biografica e ambientale; non esiste alcun ponte documentato fra tale cluster e le reti operative eversive del corpus di progetto.</w:t>
      </w:r>
      <w:r>
        <w:t xml:space="preserve"> </w:t>
      </w:r>
      <w:r>
        <w:t xml:space="preserve">L’unico punto di contatto reale fra i due universi è storico e istituzionale — il finanziamento di Le Cercle da parte del Dipartimento degli Esteri sudafricano negli anni Ottanta — e separa il nodo contemporaneo dalla rete storica per due generazioni e per un’istituzione.</w:t>
      </w:r>
    </w:p>
    <w:p>
      <w:pPr>
        <w:pStyle w:val="BodyText"/>
      </w:pPr>
      <w:r>
        <w:t xml:space="preserve">Trasformare la prima constatazione nella seconda costituirebbe un salto logico non sostenuto dalle prove, e il Registro ne registra formalmente l’inammissibilità.</w:t>
      </w:r>
    </w:p>
    <w:p>
      <w:pPr>
        <w:pStyle w:val="BodyText"/>
      </w:pPr>
      <w:r>
        <w:t xml:space="preserve">Il documento è formattato in Times New Roman dodici punti, formato A4, margini di millequattrocentoquaranta twips su tutti i lati, allineamento giustificato, secondo le specifiche redazionali permanenti del progetto ITALIA NERA, e in osservanza del divieto permanente di generazione di tabelle. La compilazione costituisce versione zero del Registro Analitico dei Nodi del Corpus di Sessione PAYPAL-APARTHEID e potrà essere oggetto di compilazioni successive sulla base delle integrazioni documentarie che si rendessero disponibili, con priorità per le Lacune 1 e 3.</w:t>
      </w:r>
    </w:p>
    <w:bookmarkEnd w:id="63"/>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6"/>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220" w:before="400"/>
      <w:jc w:val="left"/>
    </w:pPr>
    <w:rPr>
      <w:rFonts w:ascii="Times New Roman" w:cs="Times New Roman" w:eastAsia="Times New Roman" w:hAnsi="Times New Roman"/>
      <w:b/>
      <w:bCs/>
      <w:color w:val="000000"/>
      <w:sz w:val="32"/>
      <w:szCs w:val="32"/>
    </w:rPr>
  </w:style>
  <w:style w:styleId="Heading2" w:type="paragraph">
    <w:name w:val="Heading 2"/>
    <w:basedOn w:val="Normal"/>
    <w:next w:val="Normal"/>
    <w:qFormat/>
    <w:pPr>
      <w:spacing w:after="180" w:before="320"/>
      <w:jc w:val="left"/>
    </w:pPr>
    <w:rPr>
      <w:rFonts w:ascii="Times New Roman" w:cs="Times New Roman" w:eastAsia="Times New Roman" w:hAnsi="Times New Roman"/>
      <w:b/>
      <w:bCs/>
      <w:color w:val="000000"/>
      <w:sz w:val="28"/>
      <w:szCs w:val="28"/>
    </w:rPr>
  </w:style>
  <w:style w:styleId="Heading3" w:type="paragraph">
    <w:name w:val="Heading 3"/>
    <w:basedOn w:val="Normal"/>
    <w:next w:val="Normal"/>
    <w:qFormat/>
    <w:pPr>
      <w:spacing w:after="140" w:before="260"/>
      <w:jc w:val="left"/>
    </w:pPr>
    <w:rPr>
      <w:rFonts w:ascii="Times New Roman" w:cs="Times New Roman" w:eastAsia="Times New Roman" w:hAnsi="Times New Roman"/>
      <w:b/>
      <w:bCs/>
      <w:i/>
      <w:iCs/>
      <w:color w:val="000000"/>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2026-08-04T05:53:38Z</dcterms:created>
  <dcterms:modified xsi:type="dcterms:W3CDTF">2026-08-04T05:53:38Z</dcterms:modified>
</cp:coreProperties>
</file>

<file path=docProps/custom.xml><?xml version="1.0" encoding="utf-8"?>
<Properties xmlns="http://schemas.openxmlformats.org/officeDocument/2006/custom-properties" xmlns:vt="http://schemas.openxmlformats.org/officeDocument/2006/docPropsVTypes"/>
</file>