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firstLine="0"/>
        <w:jc w:val="center"/>
      </w:pPr>
      <w:r>
        <w:rPr>
          <w:rFonts w:ascii="Times New Roman" w:hAnsi="Times New Roman" w:cs="Times New Roman" w:eastAsia="Times New Roman"/>
          <w:b/>
          <w:i w:val="0"/>
          <w:sz w:val="28"/>
        </w:rPr>
        <w:t>ITALIA NERA</w:t>
      </w:r>
    </w:p>
    <w:p>
      <w:pPr>
        <w:spacing w:line="276" w:lineRule="auto" w:before="0" w:after="120"/>
        <w:ind w:firstLine="0"/>
        <w:jc w:val="center"/>
      </w:pPr>
      <w:r>
        <w:rPr>
          <w:rFonts w:ascii="Times New Roman" w:hAnsi="Times New Roman" w:cs="Times New Roman" w:eastAsia="Times New Roman"/>
          <w:b/>
          <w:i w:val="0"/>
          <w:sz w:val="24"/>
        </w:rPr>
        <w:t>REGISTRO UNICO FEDERATO</w:t>
      </w:r>
    </w:p>
    <w:p>
      <w:pPr>
        <w:spacing w:line="276" w:lineRule="auto" w:before="0" w:after="360"/>
        <w:ind w:firstLine="0"/>
        <w:jc w:val="center"/>
      </w:pPr>
      <w:r>
        <w:rPr>
          <w:rFonts w:ascii="Times New Roman" w:hAnsi="Times New Roman" w:cs="Times New Roman" w:eastAsia="Times New Roman"/>
          <w:b w:val="0"/>
          <w:i/>
          <w:sz w:val="22"/>
        </w:rPr>
        <w:t>Sei agosto duemilaventisei</w:t>
      </w:r>
    </w:p>
    <w:p>
      <w:pPr>
        <w:spacing w:line="276" w:lineRule="auto" w:before="0" w:after="0"/>
        <w:ind w:firstLine="425"/>
        <w:jc w:val="both"/>
      </w:pPr>
      <w:r>
        <w:rPr>
          <w:rFonts w:ascii="Times New Roman" w:hAnsi="Times New Roman" w:cs="Times New Roman" w:eastAsia="Times New Roman"/>
          <w:b w:val="0"/>
          <w:i w:val="0"/>
          <w:sz w:val="24"/>
        </w:rPr>
        <w:t>Registro Analitico delle Reti Informali Transnazionali</w:t>
      </w:r>
    </w:p>
    <w:p>
      <w:pPr>
        <w:spacing w:line="276" w:lineRule="auto" w:before="0" w:after="0"/>
        <w:ind w:firstLine="425"/>
        <w:jc w:val="both"/>
      </w:pPr>
      <w:r>
        <w:rPr>
          <w:rFonts w:ascii="Times New Roman" w:hAnsi="Times New Roman" w:cs="Times New Roman" w:eastAsia="Times New Roman"/>
          <w:b w:val="0"/>
          <w:i w:val="0"/>
          <w:sz w:val="24"/>
        </w:rPr>
        <w:t>Edizione quarta, versione sessantasettesima dell'opera</w:t>
      </w:r>
    </w:p>
    <w:p>
      <w:pPr>
        <w:spacing w:line="276" w:lineRule="auto" w:before="0" w:after="0"/>
        <w:ind w:firstLine="425"/>
        <w:jc w:val="both"/>
      </w:pPr>
      <w:r>
        <w:rPr>
          <w:rFonts w:ascii="Times New Roman" w:hAnsi="Times New Roman" w:cs="Times New Roman" w:eastAsia="Times New Roman"/>
          <w:b w:val="0"/>
          <w:i w:val="0"/>
          <w:sz w:val="24"/>
        </w:rPr>
        <w:t>Atto di verifica esterna del Repertorio delle fonti, censimento del guasto di numerazione nelle sue due classi, istituzione dello strato integrativo degli archivi e accertamento della regolarità delle aperture archivistiche su quindici ordinamenti</w:t>
      </w:r>
    </w:p>
    <w:p>
      <w:pPr>
        <w:spacing w:line="276" w:lineRule="auto" w:before="0" w:after="0"/>
        <w:ind w:firstLine="425"/>
        <w:jc w:val="both"/>
      </w:pPr>
      <w:r>
        <w:rPr>
          <w:rFonts w:ascii="Times New Roman" w:hAnsi="Times New Roman" w:cs="Times New Roman" w:eastAsia="Times New Roman"/>
          <w:b w:val="0"/>
          <w:i w:val="0"/>
          <w:sz w:val="24"/>
        </w:rPr>
        <w:t>Luigi De Michele</w:t>
      </w:r>
    </w:p>
    <w:p>
      <w:pPr>
        <w:spacing w:line="276" w:lineRule="auto" w:before="280" w:after="120"/>
        <w:ind w:firstLine="0"/>
        <w:jc w:val="left"/>
      </w:pPr>
      <w:r>
        <w:rPr>
          <w:rFonts w:ascii="Times New Roman" w:hAnsi="Times New Roman" w:cs="Times New Roman" w:eastAsia="Times New Roman"/>
          <w:b/>
          <w:i w:val="0"/>
          <w:sz w:val="24"/>
        </w:rPr>
        <w:t>Premessa architetturale</w:t>
      </w:r>
    </w:p>
    <w:p>
      <w:pPr>
        <w:spacing w:line="276" w:lineRule="auto" w:before="0" w:after="0"/>
        <w:ind w:firstLine="425"/>
        <w:jc w:val="both"/>
      </w:pPr>
      <w:r>
        <w:rPr>
          <w:rFonts w:ascii="Times New Roman" w:hAnsi="Times New Roman" w:cs="Times New Roman" w:eastAsia="Times New Roman"/>
          <w:b w:val="0"/>
          <w:i w:val="0"/>
          <w:sz w:val="24"/>
        </w:rPr>
        <w:t>La presente edizione è la sessantasettesima dell'opera ITALIA NERA e la quarta del Registro Unico Federato. Essa è prodotta in esecuzione di un mandato dell'autore trasmesso nella sessione aperta il cinque agosto duemilaventisei e proseguita il sei, che prescrive la produzione di una versione nuova del Registro nella forma piena e non approssimativa. Il mandato si esegue nella forma costituzionale che l'opera si è data con i Prompt Evoluti V64 e V65 e con le tre edizioni precedenti del Registro Unico Federato: la federazione per riferimento, in forza della quale ogni edizione è la somma degli strati alla loro edizione corrente più la spina e i dispositivi aggiornati, con gli strati preservati verbatim nelle rispettive sedi documentali e collegati dagli identificativi stabili. La somma non si realizza per concatenazione fisica dei corpi documentali, forma superata dalla decisione strutturale del Registro Titanico, ma per atto federativo certificato. La versione sessantaseiesima, promulgata il due agosto duemilaventisei, entra pertanto nella presente edizione alla sua edizione corrente, preservata verbatim nella propria sede e non riscritta in alcuna parte.</w:t>
      </w:r>
    </w:p>
    <w:p>
      <w:pPr>
        <w:spacing w:line="276" w:lineRule="auto" w:before="0" w:after="0"/>
        <w:ind w:firstLine="425"/>
        <w:jc w:val="both"/>
      </w:pPr>
      <w:r>
        <w:rPr>
          <w:rFonts w:ascii="Times New Roman" w:hAnsi="Times New Roman" w:cs="Times New Roman" w:eastAsia="Times New Roman"/>
          <w:b w:val="0"/>
          <w:i w:val="0"/>
          <w:sz w:val="24"/>
        </w:rPr>
        <w:t>Ciò che distingue questa edizione dalle tre precedenti è la natura dell'atto che la produce. Le edizioni inaugurale, seconda e terza sono state atti di somma, censimento e ricezione: hanno verificato il perimetro, incorporato spine prodotte in sessioni distinte, riconciliato la memoria operativa e consolidato la tavola delle lacune. La presente edizione è, per la prima volta nella serie, un atto di verifica esterna. Nella sessione del cinque e sei agosto duemilaventisei il Repertorio delle fonti dell'opera è stato sottoposto a riscontro voce per voce su fonti esterne all'opera, e l'esito di quel riscontro entra qui in federazione. È il primo caso in cui il Registro riceve un accertamento che verte non su un oggetto esterno ma sull'apparato documentario dell'opera medesima, e ciò impone una cautela di statuto che va dichiarata in apertura.</w:t>
      </w:r>
    </w:p>
    <w:p>
      <w:pPr>
        <w:spacing w:line="276" w:lineRule="auto" w:before="0" w:after="0"/>
        <w:ind w:firstLine="425"/>
        <w:jc w:val="both"/>
      </w:pPr>
      <w:r>
        <w:rPr>
          <w:rFonts w:ascii="Times New Roman" w:hAnsi="Times New Roman" w:cs="Times New Roman" w:eastAsia="Times New Roman"/>
          <w:b w:val="0"/>
          <w:i w:val="0"/>
          <w:sz w:val="24"/>
        </w:rPr>
        <w:t>La cautela è la seguente. Il principio codificato secondo cui i prodotti del lavoro non sono fonti del lavoro vieta che il Repertorio, i registri e i bilanci del corpus siano citati a sostegno delle proprie affermazioni. Il presente atto di verifica non viola quel principio ma lo applica: esso non certifica che le voci del Repertorio dicano il vero perché il Repertorio lo dice, ma accerta che le voci concordino o non concordino con quanto di quegli atti riferiscono fonti indipendenti dall'opera. La verifica è dunque uno strato diagnostico, non uno strato probatorio, e come tale entra nello Strato Quarto della federazione, accanto alla Scheda della Mutua Informazione Puntuale e al Registro degli Esiti Negativi, e non nello Strato Primo delle fonti.</w:t>
      </w:r>
    </w:p>
    <w:p>
      <w:pPr>
        <w:spacing w:line="276" w:lineRule="auto" w:before="0" w:after="0"/>
        <w:ind w:firstLine="425"/>
        <w:jc w:val="both"/>
      </w:pPr>
      <w:r>
        <w:rPr>
          <w:rFonts w:ascii="Times New Roman" w:hAnsi="Times New Roman" w:cs="Times New Roman" w:eastAsia="Times New Roman"/>
          <w:b w:val="0"/>
          <w:i w:val="0"/>
          <w:sz w:val="24"/>
        </w:rPr>
        <w:t>Resta ferma la distinzione fra ordo expositionis e ordo probandi, codificata dalla versione sessantesima e mai revocata. Resta ferma la macro-ipotesi della convergenza antagonista contro l'integrazione europea nel proprio statuto di ipotesi H1 di **Livello C**, falsificabile, con il falsificatore milwardiano permanentemente attivo. Resta sovrana la Regola di Ferro: dove la fonte documenta, l'opera certifica; dove la fonte tace, l'opera indaga e non afferma.</w:t>
      </w:r>
    </w:p>
    <w:p>
      <w:pPr>
        <w:spacing w:line="276" w:lineRule="auto" w:before="280" w:after="120"/>
        <w:ind w:firstLine="0"/>
        <w:jc w:val="left"/>
      </w:pPr>
      <w:r>
        <w:rPr>
          <w:rFonts w:ascii="Times New Roman" w:hAnsi="Times New Roman" w:cs="Times New Roman" w:eastAsia="Times New Roman"/>
          <w:b/>
          <w:i w:val="0"/>
          <w:sz w:val="24"/>
        </w:rPr>
        <w:t>Ruolo di revisione — rilettura della tavola delle lacune e selezione motivata</w:t>
      </w:r>
    </w:p>
    <w:p>
      <w:pPr>
        <w:spacing w:line="276" w:lineRule="auto" w:before="0" w:after="0"/>
        <w:ind w:firstLine="425"/>
        <w:jc w:val="both"/>
      </w:pPr>
      <w:r>
        <w:rPr>
          <w:rFonts w:ascii="Times New Roman" w:hAnsi="Times New Roman" w:cs="Times New Roman" w:eastAsia="Times New Roman"/>
          <w:b w:val="0"/>
          <w:i w:val="0"/>
          <w:sz w:val="24"/>
        </w:rPr>
        <w:t>In ottemperanza alla settima istruzione operativa, la sessione si è aperta con la rilettura della tavola delle lacune consolidata dalla versione sessantaseiesima nei suoi sei gruppi. La selezione ha privilegiato, secondo l'ottavo fondamento della revisione periodica dei casi freddi, le operazioni interamente solvibili nella sessione e quelle il cui scioglimento avrebbe effetto su più gruppi della tavola simultaneamente.</w:t>
      </w:r>
    </w:p>
    <w:p>
      <w:pPr>
        <w:spacing w:line="276" w:lineRule="auto" w:before="0" w:after="0"/>
        <w:ind w:firstLine="425"/>
        <w:jc w:val="both"/>
      </w:pPr>
      <w:r>
        <w:rPr>
          <w:rFonts w:ascii="Times New Roman" w:hAnsi="Times New Roman" w:cs="Times New Roman" w:eastAsia="Times New Roman"/>
          <w:b w:val="0"/>
          <w:i w:val="0"/>
          <w:sz w:val="24"/>
        </w:rPr>
        <w:t>Tre voci del gruppo terzo, il programma archivistico trasferito dall'edizione inaugurale, sono risultate solvibili per riscontro esterno diretto, e la loro soluzione ha effetto immediato su altre voci: lo spoglio del fondo della polizia politica portoghese, la cui condizione di accesso è stata accertata e il cui perimetro documentale è risultato assai più ampio di quanto la tavola presupponesse; il segmento spagnolo-latinoamericano, per il quale è stata individuata la sede documentaria propria; e la ricognizione delle sedi del Cono Sud, che la tavola dava per acquisite e che risultavano invece censite per un solo Paese su quattro. Il gruppo quarto, diagnostica, ha ricevuto una passata nuova, non prevista in tavola, sul guasto di numerazione, il cui censimento ha rivelato una seconda classe fino a oggi ignota. Il gruppo primo, perimetro e censimento, si è arricchito di ventotto sedi archivistiche di nuova istituzione. Il gruppo quinto e il gruppo sesto restano invariati, salvo quanto si dirà nella Sezione Settima.</w:t>
      </w:r>
    </w:p>
    <w:p>
      <w:pPr>
        <w:spacing w:line="276" w:lineRule="auto" w:before="280" w:after="120"/>
        <w:ind w:firstLine="0"/>
        <w:jc w:val="left"/>
      </w:pPr>
      <w:r>
        <w:rPr>
          <w:rFonts w:ascii="Times New Roman" w:hAnsi="Times New Roman" w:cs="Times New Roman" w:eastAsia="Times New Roman"/>
          <w:b/>
          <w:i w:val="0"/>
          <w:sz w:val="24"/>
        </w:rPr>
        <w:t>Indice delle sezioni</w:t>
      </w:r>
    </w:p>
    <w:p>
      <w:pPr>
        <w:spacing w:line="276" w:lineRule="auto" w:before="0" w:after="0"/>
        <w:ind w:firstLine="425"/>
        <w:jc w:val="both"/>
      </w:pPr>
      <w:r>
        <w:rPr>
          <w:rFonts w:ascii="Times New Roman" w:hAnsi="Times New Roman" w:cs="Times New Roman" w:eastAsia="Times New Roman"/>
          <w:b w:val="0"/>
          <w:i w:val="0"/>
          <w:sz w:val="24"/>
        </w:rPr>
        <w:t>La presente edizione si articola come segue. La Sezione Prima contiene l'atto di verifica esterna del Repertorio delle fonti, con l'esito quantitativo per foglio, il metodo impiegato e il limite dichiarato. La Sezione Seconda contiene il censimento del guasto di numerazione nelle sue due classi, con l'enunciazione della regola di decodifica e le sette prove che la sostengono. La Sezione Terza enumera i difetti accertati del Repertorio in ordine di gravità, con le asserzioni da AS-0028 ad AS-0031. La Sezione Quarta accerta il difetto di struttura del foglio degli archivi e prescrive la scissione, con il verbale VT-0017. La Sezione Quinta contiene l'atto di istituzione dello strato integrativo degli archivi, con le fonti da FO-0220 a FO-0228 e i nodi da ND-0040 a ND-0046. La Sezione Sesta contiene l'accertamento della regolarità delle aperture archivistiche su quindici ordinamenti, con le asserzioni da AS-0032 ad AS-0036. La Sezione Settima riconcilia la tavola delle lacune, distinguendo le voci chiuse dalle voci aperte e dalle voci nuove. Chiudono l'edizione l'atto di incorporazione degli strati esistenti, lo strato di revisione con l'elenco aggiornato degli identificativi stabili e il colophon.</w:t>
      </w:r>
    </w:p>
    <w:p>
      <w:pPr>
        <w:spacing w:line="276" w:lineRule="auto" w:before="280" w:after="120"/>
        <w:ind w:firstLine="0"/>
        <w:jc w:val="left"/>
      </w:pPr>
      <w:r>
        <w:rPr>
          <w:rFonts w:ascii="Times New Roman" w:hAnsi="Times New Roman" w:cs="Times New Roman" w:eastAsia="Times New Roman"/>
          <w:b/>
          <w:i w:val="0"/>
          <w:sz w:val="24"/>
        </w:rPr>
        <w:t>Sezione Prima — atto di verifica esterna del Repertorio delle fonti</w:t>
      </w:r>
    </w:p>
    <w:p>
      <w:pPr>
        <w:spacing w:line="276" w:lineRule="auto" w:before="0" w:after="0"/>
        <w:ind w:firstLine="425"/>
        <w:jc w:val="both"/>
      </w:pPr>
      <w:r>
        <w:rPr>
          <w:rFonts w:ascii="Times New Roman" w:hAnsi="Times New Roman" w:cs="Times New Roman" w:eastAsia="Times New Roman"/>
          <w:b w:val="0"/>
          <w:i w:val="0"/>
          <w:sz w:val="24"/>
        </w:rPr>
        <w:t>Il Repertorio delle fonti dell'opera, nella sua consistenza al sei agosto duemilaventisei, consta di trecentotré voci distribuite su otto fogli, dei quali uno di nuova formazione istituito dalla presente edizione. La verifica condotta nella sessione del cinque e sei agosto ha chiuso centosettantasette voci con annotazione motivata, data ed esito registrati singolarmente; centoventisei restano da verificare. La distribuzione per foglio è la seguente. Il foglio degli atti giudiziari e normativi è chiuso integralmente, settantatré voci su settantatré. Il foglio della bibliografia è chiuso integralmente, trenta su trenta. Il foglio degli archivi desecretati è chiuso integralmente, nove su nove. Il foglio delle fonti seriali reca otto voci verificate e una parziale. Il foglio degli atti parlamentari reca quattro voci verificate e una parziale. Il foglio degli archivi sudamericani reca quattro voci verificate e una da riallineare per difetto di riga. Il foglio integrativo degli archivi, di nuova formazione, reca ventotto voci tutte verificate. Il foglio degli archivi reca ventidue voci verificate su centoquarantadue.</w:t>
      </w:r>
    </w:p>
    <w:p>
      <w:pPr>
        <w:spacing w:line="276" w:lineRule="auto" w:before="0" w:after="0"/>
        <w:ind w:firstLine="425"/>
        <w:jc w:val="both"/>
      </w:pPr>
      <w:r>
        <w:rPr>
          <w:rFonts w:ascii="Times New Roman" w:hAnsi="Times New Roman" w:cs="Times New Roman" w:eastAsia="Times New Roman"/>
          <w:b w:val="0"/>
          <w:i w:val="0"/>
          <w:sz w:val="24"/>
        </w:rPr>
        <w:t>Il metodo impiegato è stato il seguente. Per ciascuna voce si è cercata una fonte esterna all'opera che riferisse dell'atto censito; si è confrontata la formula della voce con quella della fonte; si è registrato in tre campi l'esito, la data e un'annotazione motivata articolata in cinque punti nell'ordine: ciò che risulta confermato, con la formula testuale della fonte quando la formula stessa è il dato; ciò che risulta errato, con la correzione; ciò che risulta omesso e disponibile, dando precedenza ai nomi propri; i collegamenti con altre voci del Repertorio; ciò che resta da verificare e presso quale sede. Le voci non chiuse sono state marcate come tali e non come verificate, secondo la regola per cui non si dichiara accertato ciò che non è stato accertato.</w:t>
      </w:r>
    </w:p>
    <w:p>
      <w:pPr>
        <w:spacing w:line="276" w:lineRule="auto" w:before="0" w:after="0"/>
        <w:ind w:firstLine="425"/>
        <w:jc w:val="both"/>
      </w:pPr>
      <w:r>
        <w:rPr>
          <w:rFonts w:ascii="Times New Roman" w:hAnsi="Times New Roman" w:cs="Times New Roman" w:eastAsia="Times New Roman"/>
          <w:b w:val="0"/>
          <w:i w:val="0"/>
          <w:sz w:val="24"/>
        </w:rPr>
        <w:t>Il limite del metodo è dichiarato e va ripetuto in ogni sede in cui l'esito della verifica sia citato. Il riscontro non è stato condotto sugli originali ma su fonti secondarie consultabili. Ciò che si è accertato non è che gli atti dicano quanto le voci affermano, ma che le voci concordino con quanto di essi riferiscono fonti verificabili e indipendenti dall'opera. In due soli casi il riscontro ha potuto poggiare su strumenti di corredo archivistici — l'inventario a stampa del fondo processuale relativo alla strage di piazza Fontana e il catalogo del centro archivistico di Cambridge — e in quei due casi il grado raggiunto è superiore agli altri.</w:t>
      </w:r>
    </w:p>
    <w:p>
      <w:pPr>
        <w:spacing w:line="276" w:lineRule="auto" w:before="0" w:after="0"/>
        <w:ind w:firstLine="425"/>
        <w:jc w:val="both"/>
      </w:pPr>
      <w:r>
        <w:rPr>
          <w:rFonts w:ascii="Times New Roman" w:hAnsi="Times New Roman" w:cs="Times New Roman" w:eastAsia="Times New Roman"/>
          <w:b w:val="0"/>
          <w:i w:val="0"/>
          <w:sz w:val="24"/>
        </w:rPr>
        <w:t>L'esito d'insieme è negativo nel senso tecnico dell'espressione, ed è il risultato principale dell'intera operazione. Su trecentotré voci esaminate o parzialmente esaminate non è stato trovato alcun atto inesistente: nessuna sentenza inventata, nessuna legge mai promulgata, nessun archivio mai istituito, nessun organismo mai costituito. In un repertorio prodotto in parte per via generativa questo era il rischio più grave, e il suo mancato verificarsi va dichiarato per primo. Si iscrive pertanto l'asserzione AS-0028: il Repertorio delle fonti dell'opera, per la porzione sottoposta a verifica esterna, non registra atti inesistenti. Grado **Livello A**, quale accertamento negativo rigorosamente stabilito, ai sensi della regola per cui l'assenza di prova, quando è il risultato di una ricerca condotta e non di una ricerca omessa, è un fatto di pieno statuto.</w:t>
      </w:r>
    </w:p>
    <w:p>
      <w:pPr>
        <w:spacing w:line="276" w:lineRule="auto" w:before="0" w:after="0"/>
        <w:ind w:firstLine="425"/>
        <w:jc w:val="both"/>
      </w:pPr>
      <w:r>
        <w:rPr>
          <w:rFonts w:ascii="Times New Roman" w:hAnsi="Times New Roman" w:cs="Times New Roman" w:eastAsia="Times New Roman"/>
          <w:b w:val="0"/>
          <w:i w:val="0"/>
          <w:sz w:val="24"/>
        </w:rPr>
        <w:t>Il secondo esito d'insieme riguarda la precisione dei dettagli. Dove il Repertorio scende nel particolare numerico o nominale, il particolare tiene. Si sono verificate esattamente: la sentenza della seconda sezione penale della Corte di cassazione con l'indicazione del presidente e del relatore; la ripartizione delle sanzioni disciplinari deliberate dal Consiglio superiore della magistratura nel millenovecentottantatré; la griglia delle dodici condanne del caso Marey; le quattro dichiarazioni di incompatibilità della causa Dillon, con l'articolo convenzionale violato indicato per ciascuna norma; i sette ergastoli e le tre pene ridotte dei processi tedeschi sul sequestro del millenovecentosettantasette, compresa la circostanza che il concorso in omicidio fu riferito a una sola delle tre condanne minori; i cinque nomi delle vittime di calle Atocha; i dieci nomi delle vittime della serie di omicidi giudicata a Monaco; le due cifre relative al corpus epistolare della prigionia; i quattro collaboratori della critica delle fonti sullo schedario tedesco. La precisione del dettaglio è dunque un carattere del Repertorio e non un caso.</w:t>
      </w:r>
    </w:p>
    <w:p>
      <w:pPr>
        <w:spacing w:line="276" w:lineRule="auto" w:before="280" w:after="120"/>
        <w:ind w:firstLine="0"/>
        <w:jc w:val="left"/>
      </w:pPr>
      <w:r>
        <w:rPr>
          <w:rFonts w:ascii="Times New Roman" w:hAnsi="Times New Roman" w:cs="Times New Roman" w:eastAsia="Times New Roman"/>
          <w:b/>
          <w:i w:val="0"/>
          <w:sz w:val="24"/>
        </w:rPr>
        <w:t>Sezione Seconda — il guasto di numerazione: le due classi, la regola e le sette prove</w:t>
      </w:r>
    </w:p>
    <w:p>
      <w:pPr>
        <w:spacing w:line="276" w:lineRule="auto" w:before="0" w:after="0"/>
        <w:ind w:firstLine="425"/>
        <w:jc w:val="both"/>
      </w:pPr>
      <w:r>
        <w:rPr>
          <w:rFonts w:ascii="Times New Roman" w:hAnsi="Times New Roman" w:cs="Times New Roman" w:eastAsia="Times New Roman"/>
          <w:b w:val="0"/>
          <w:i w:val="0"/>
          <w:sz w:val="24"/>
        </w:rPr>
        <w:t>Il Repertorio reca un guasto sistematico di numerazione, la cui riparazione era stata avviata in sede precedente e il cui censimento integrale è stato condotto nella presente sessione. Il guasto consiste nella sostituzione con cifre arabe delle parole-numero collocate all'interno di numerali composti scritti per esteso. Esso si presenta in due classi, la seconda delle quali era fino a oggi ignota e non riparabile con il dispositivo adottato.</w:t>
      </w:r>
    </w:p>
    <w:p>
      <w:pPr>
        <w:spacing w:line="276" w:lineRule="auto" w:before="0" w:after="0"/>
        <w:ind w:firstLine="425"/>
        <w:jc w:val="both"/>
      </w:pPr>
      <w:r>
        <w:rPr>
          <w:rFonts w:ascii="Times New Roman" w:hAnsi="Times New Roman" w:cs="Times New Roman" w:eastAsia="Times New Roman"/>
          <w:b w:val="0"/>
          <w:i w:val="0"/>
          <w:sz w:val="24"/>
        </w:rPr>
        <w:t>La prima classe produce forme visibilmente rotte e per ciò stesso rilevabili in via automatica. Se ne sono censite cinquantotto occorrenze, cinquantasei delle quali decodificate con certezza e due lasciate alla lettura contestuale. Esempi accertati: la forma «tre150mila» corrisponde a trecentocinquantamila; la forma «cento26» a centoventisei; la forma «50tré» a cinquantatré; la forma «due100.000» a duecentomila; la forma «13mila50» a tredicimilacinquanta; la forma «MILLEDUECENTO51» a milleduecentocinquantuno; la forma «QUATTROCENTO64» a quattrocentosessantaquattro; la forma «NOVECENTO21» a novecentoventuno; la forma «CENTO16» a centosedici; la forma «CENTO64» a centosessantaquattro; la forma «25nnale» a venticinquennale; la forma «5100.000» a cinquecentomila; la forma «7100.000» a settecentomila. La distribuzione delle occorrenze è la seguente: cinquanta nel foglio degli archivi, sette nel foglio degli atti giudiziari, una nel foglio degli archivi desecretati.</w:t>
      </w:r>
    </w:p>
    <w:p>
      <w:pPr>
        <w:spacing w:line="276" w:lineRule="auto" w:before="0" w:after="0"/>
        <w:ind w:firstLine="425"/>
        <w:jc w:val="both"/>
      </w:pPr>
      <w:r>
        <w:rPr>
          <w:rFonts w:ascii="Times New Roman" w:hAnsi="Times New Roman" w:cs="Times New Roman" w:eastAsia="Times New Roman"/>
          <w:b w:val="0"/>
          <w:i w:val="0"/>
          <w:sz w:val="24"/>
        </w:rPr>
        <w:t>La seconda classe è occulta, e la sua scoperta è il risultato principale del censimento. Essa sostituisce la coppia decina più unità con una cifra a tre posizioni, producendo un numero di aspetto perfettamente normale e quindi non rilevabile per forma. La forma «506» corrisponde a cinquantasei; la forma «509» a cinquantanove; la forma «505» a cinquantacinque. Se ne sono censite diciassette occorrenze, delle quali quattro accertate come corruzioni, nove accertate come cifre autentiche della medesima apparenza e quattro lasciate alla determinazione contestuale. La coesistenza, nel medesimo Repertorio, di forme corrotte e di forme autentiche indistinguibili per aspetto dimostra che questa classe non è riparabile per regola e va letta occorrenza per occorrenza nel proprio contesto. Si iscrive pertanto l'asserzione AS-0029: il guasto di numerazione del Repertorio consta di due classi, delle quali la seconda non è riparabile in via automatica. Grado **Livello A**, per accertamento diretto sul corpo del documento con esibizione delle occorrenze.</w:t>
      </w:r>
    </w:p>
    <w:p>
      <w:pPr>
        <w:spacing w:line="276" w:lineRule="auto" w:before="0" w:after="0"/>
        <w:ind w:firstLine="425"/>
        <w:jc w:val="both"/>
      </w:pPr>
      <w:r>
        <w:rPr>
          <w:rFonts w:ascii="Times New Roman" w:hAnsi="Times New Roman" w:cs="Times New Roman" w:eastAsia="Times New Roman"/>
          <w:b w:val="0"/>
          <w:i w:val="0"/>
          <w:sz w:val="24"/>
        </w:rPr>
        <w:t>La regola di decodifica, enunciata nella forma per cui il valore è corretto e la resa è rotta, e per cui la correzione è dunque tipografica e non di accertamento, è stata provata sette volte. Le prove sono di due specie. Quattro sono riscontri esterni: i cinquantasei voti con cui il Senato statunitense approvò la legge del millenovecentosettantaquattro sulla conservazione dei materiali presidenziali, che la fonte esterna conferma nella forma cinquantasei contro sette; i cinquantacinque agenti ulteriori individuati dall'organo di vigilanza britannico; le quattrocentocinquantamila pagine esaminate dal collegio indipendente; i due milioni e quattrocentomila euro stanziati per la commissione storica tedesca. Tre sono prove aritmetiche interne al Repertorio medesimo: la somma di trecentocinquantatré e centodiciannove dà i quattrocentosettantadue che la voce dichiara nel proprio totale; la ripartizione fra sette enti di una diffusione documentaria somma esattamente ai sedicimilasessanta documenti dichiarati; le settecentomila pagine dell'archivio paraguaiano coincidono con la cifra riferita da fonte esterna e con quella riferita dalla direzione del museo di Asunción. Una sola verifica aritmetica non chiude, e resta iscritta come discrepanza aperta: la voce dichiara oltre millecento documenti mentre le componenti decodificate sommano a novecentoquaranta.</w:t>
      </w:r>
    </w:p>
    <w:p>
      <w:pPr>
        <w:spacing w:line="276" w:lineRule="auto" w:before="0" w:after="0"/>
        <w:ind w:firstLine="425"/>
        <w:jc w:val="both"/>
      </w:pPr>
      <w:r>
        <w:rPr>
          <w:rFonts w:ascii="Times New Roman" w:hAnsi="Times New Roman" w:cs="Times New Roman" w:eastAsia="Times New Roman"/>
          <w:b w:val="0"/>
          <w:i w:val="0"/>
          <w:sz w:val="24"/>
        </w:rPr>
        <w:t>Il censimento delle percentuali dichiarate nel foglio degli archivi ha inoltre accertato che tutte e nove le proporzioni calcolate sul fondo dell'elenco sequestrato nel millenovecentottantuno risultano aritmeticamente coerenti con i valori decodificati. Il computo statistico condotto sull'elenco è pertanto affidabile, e questo accertamento chiude una preoccupazione che la riparazione precedente aveva lasciato aperta.</w:t>
      </w:r>
    </w:p>
    <w:p>
      <w:pPr>
        <w:spacing w:line="276" w:lineRule="auto" w:before="280" w:after="120"/>
        <w:ind w:firstLine="0"/>
        <w:jc w:val="left"/>
      </w:pPr>
      <w:r>
        <w:rPr>
          <w:rFonts w:ascii="Times New Roman" w:hAnsi="Times New Roman" w:cs="Times New Roman" w:eastAsia="Times New Roman"/>
          <w:b/>
          <w:i w:val="0"/>
          <w:sz w:val="24"/>
        </w:rPr>
        <w:t>Sezione Terza — i difetti accertati del Repertorio in ordine di gravità</w:t>
      </w:r>
    </w:p>
    <w:p>
      <w:pPr>
        <w:spacing w:line="276" w:lineRule="auto" w:before="0" w:after="0"/>
        <w:ind w:firstLine="425"/>
        <w:jc w:val="both"/>
      </w:pPr>
      <w:r>
        <w:rPr>
          <w:rFonts w:ascii="Times New Roman" w:hAnsi="Times New Roman" w:cs="Times New Roman" w:eastAsia="Times New Roman"/>
          <w:b w:val="0"/>
          <w:i w:val="0"/>
          <w:sz w:val="24"/>
        </w:rPr>
        <w:t>Il primo difetto, e il più grave per le conseguenze che produce sull'apparato analitico dell'opera, è l'omissione sistematica dei nomi propri. Se ne sono contate oltre centoventi occorrenze, tutte relative a nomi disponibili nelle fonti e assenti dalle voci. La distribuzione dell'omissione è essa stessa un dato che va registrato: il Repertorio nomina di regola le vittime e tace di regola gli imputati, i condannati, i magistrati e i responsabili degli organi. Non si tratta di una scelta di riservatezza consapevole, poiché in alcune voci i medesimi nomi compaiono; si tratta di una irregolarità di compilazione. La conseguenza non è di forma ma di funzione, e va enunciata con precisione: una voce che accerti una condanna senza nominare il condannato non genera alcun nodo nella rete e non consente la formazione di alcun arco. Poiché l'analisi di rete multilivello è l'apparato analitico centrale dell'opera, e poiché il Repertorio dovrebbe esserne la base fattuale, il Repertorio nella sua forma attuale non è utilizzabile allo scopo per cui è stato costruito. Si iscrive l'asserzione AS-0030: l'omissione dei nomi propri nel Repertorio è sistematica e ne impedisce l'uso reticolare. Grado **Livello A**, per conteggio diretto sulle voci con esibizione dei nomi disponibili nelle fonti.</w:t>
      </w:r>
    </w:p>
    <w:p>
      <w:pPr>
        <w:spacing w:line="276" w:lineRule="auto" w:before="0" w:after="0"/>
        <w:ind w:firstLine="425"/>
        <w:jc w:val="both"/>
      </w:pPr>
      <w:r>
        <w:rPr>
          <w:rFonts w:ascii="Times New Roman" w:hAnsi="Times New Roman" w:cs="Times New Roman" w:eastAsia="Times New Roman"/>
          <w:b w:val="0"/>
          <w:i w:val="0"/>
          <w:sz w:val="24"/>
        </w:rPr>
        <w:t>Il secondo difetto è la deformazione di misura, e consiste nel conservare la metà più netta di una proposizione scartando la clausola che la limita nel medesimo atto. È stato accertato in almeno tre casi documentati. Nel primo, l'archiviazione del procedimento relativo al negoziato alberghiero romano riconosceva atti diretti al finanziamento illecito e insieme li dichiarava inidonei allo scopo; il Repertorio conserva la prima proposizione e omette la seconda. Nel secondo, la relazione sull'omicidio dell'avvocato di Belfast accertava una collusione definita sconvolgente e insieme escludeva una cospirazione statale complessiva; il Repertorio conserva l'aggettivo e omette l'esclusione. Nel terzo, la relazione sull'inchiesta pubblica relativa al sangue infetto affermava che il danno era stato in larga parte, ma non interamente, evitabile; il Repertorio omette la limitazione. Il difetto è più insidioso di un errore di data perché non è falsificabile con un controllo puntuale: ciascuna proposizione, così come riportata, è presente nell'atto e resiste alla verifica; manca la proposizione che la bilancia. L'unico rimedio è il controllo di completezza della citazione, che non è automatizzabile e va condotto voce per voce sul testo integrale dell'atto.</w:t>
      </w:r>
    </w:p>
    <w:p>
      <w:pPr>
        <w:spacing w:line="276" w:lineRule="auto" w:before="0" w:after="0"/>
        <w:ind w:firstLine="425"/>
        <w:jc w:val="both"/>
      </w:pPr>
      <w:r>
        <w:rPr>
          <w:rFonts w:ascii="Times New Roman" w:hAnsi="Times New Roman" w:cs="Times New Roman" w:eastAsia="Times New Roman"/>
          <w:b w:val="0"/>
          <w:i w:val="0"/>
          <w:sz w:val="24"/>
        </w:rPr>
        <w:t>Il terzo difetto è la duplicazione. Se ne sono accertate cinque. Una è interna al foglio degli atti giudiziari, dove il medesimo atto del medesimo giorno figura in due voci distinte. Una è interna al foglio degli archivi, dove il portale della Rete degli archivi per non dimenticare è censito due volte, una sotto la denominazione della Rete e una sotto l'indirizzo del portale ministeriale, come se fossero risorse diverse. Tre sono fra fogli distinti e riguardano la valutazione europea sulla criminalità organizzata, censita nel foglio delle fonti seriali e nel foglio della bibliografia; l'archivio storico sudafricano, censito nel foglio della bibliografia e nel foglio degli archivi; il centro documentale statunitense e le carte dell'ufficiale sovietico transfugo, entrambi censiti in due fogli. La circostanza che nessuna revisione avesse mai messo a confronto i fogli fra loro è essa stessa un rilievo di procedura.</w:t>
      </w:r>
    </w:p>
    <w:p>
      <w:pPr>
        <w:spacing w:line="276" w:lineRule="auto" w:before="0" w:after="0"/>
        <w:ind w:firstLine="425"/>
        <w:jc w:val="both"/>
      </w:pPr>
      <w:r>
        <w:rPr>
          <w:rFonts w:ascii="Times New Roman" w:hAnsi="Times New Roman" w:cs="Times New Roman" w:eastAsia="Times New Roman"/>
          <w:b w:val="0"/>
          <w:i w:val="0"/>
          <w:sz w:val="24"/>
        </w:rPr>
        <w:t>Il quarto difetto riguarda le date, e consiste nella riduzione a una sola data di procedimenti che ne producono due, entrambe vere. Ne sono stati accertati almeno sei casi: pronuncia e deposito di una sentenza; approvazione in seduta e comunicazione alle Presidenze delle Camere di una relazione parlamentare; completamento e pubblicazione di una relazione d'inchiesta; emissione e notificazione di un provvedimento. Il Repertorio conosce la distinzione e la applica correttamente in due voci; la questione non è dunque di conoscenza del principio ma di applicazione uniforme. Si stabilisce la regola: quando due fonti attendibili recano due date divergenti per il medesimo atto, non si sceglie fra esse, ma si accerta quale atto ciascuna registri e si recano entrambe con la rispettiva qualificazione.</w:t>
      </w:r>
    </w:p>
    <w:p>
      <w:pPr>
        <w:spacing w:line="276" w:lineRule="auto" w:before="0" w:after="0"/>
        <w:ind w:firstLine="425"/>
        <w:jc w:val="both"/>
      </w:pPr>
      <w:r>
        <w:rPr>
          <w:rFonts w:ascii="Times New Roman" w:hAnsi="Times New Roman" w:cs="Times New Roman" w:eastAsia="Times New Roman"/>
          <w:b w:val="0"/>
          <w:i w:val="0"/>
          <w:sz w:val="24"/>
        </w:rPr>
        <w:t>Sono stati inoltre accertati sei errori di sostanza, che si enumerano per compiutezza. La formula del dispositivo nel procedimento di Perugia è resa con un termine processuale diverso da quello impiegato dall'atto. Una percentuale relativa alla sopravvivenza è indurita in un valore che la fonte dichiara ignoto. La periodicità della relazione dell'organo investigativo antimafia è indicata come semestrale, mentre la serie è divenuta annuale a partire dall'edizione riferita al duemilaventiquattro. La legislatura attribuita alla prima commissione parlamentare sul caso Moro è la nona, mentre quella commissione fu costituita nell'ottava e sciolta prima dell'inizio della nona. Il toponimo relativo alla base romana scoperta dalla seconda commissione è reso come via, mentre l'atto reca viale. L'anno finale nel sottotitolo della monografia sulle strutture clandestine tedesche è indicato come millenovecentonovanta, mentre il sottotitolo reca millenovecentonovantuno. A questi si aggiungono un errore di attribuzione, per il quale una raccolta editoriale commerciale è ascritta agli Archivi nazionali statunitensi anziché all'editore che la produce, e una incoerenza interna, per la quale la medesima legge di amnistia spagnola è qualificata come legge in una voce e come regio decreto legge in un'altra.</w:t>
      </w:r>
    </w:p>
    <w:p>
      <w:pPr>
        <w:spacing w:line="276" w:lineRule="auto" w:before="0" w:after="0"/>
        <w:ind w:firstLine="425"/>
        <w:jc w:val="both"/>
      </w:pPr>
      <w:r>
        <w:rPr>
          <w:rFonts w:ascii="Times New Roman" w:hAnsi="Times New Roman" w:cs="Times New Roman" w:eastAsia="Times New Roman"/>
          <w:b w:val="0"/>
          <w:i w:val="0"/>
          <w:sz w:val="24"/>
        </w:rPr>
        <w:t>Si iscrive infine l'asserzione AS-0031, che verte su due fonti parlamentari fra le più citate dall'opera e ne modifica lo statuto. La relazione della commissione parlamentare d'inchiesta sulla loggia, comunicata alle Presidenze delle Camere il dodici luglio millenovecentottantaquattro e approvata in seduta il dieci, fu seguita da cinque relazioni di minoranza raccolte nel documento parlamentare recante il numero due bis, presentate da cinque parlamentari nominativamente individuabili, delle quali almeno due condividevano una radicale contestazione delle conclusioni. Il documento parlamentare della commissione sulle stragi della tredicesima legislatura, pubblicato in tre volumi e dodici tomi dall'ufficio stralcio in esecuzione di una deliberazione dell'ultima seduta del ventidue marzo duemilauno, non è una relazione conclusiva approvata dall'organo ma una raccolta di elaborati di singoli commissari, come attesta il fatto che il contributo del presidente vi figuri sotto il titolo di appunti per una relazione conclusiva. Ne discende che entrambe le fonti parlamentari principali del corpus non sono accertamenti unanimi, e che ogni citazione da esse tratta deve indicare l'autore dell'elaborato e non attribuire l'enunciato alla Commissione. Grado **Livello A**, per riscontro sugli atti parlamentari e sui loro indici.</w:t>
      </w:r>
    </w:p>
    <w:p>
      <w:pPr>
        <w:spacing w:line="276" w:lineRule="auto" w:before="280" w:after="120"/>
        <w:ind w:firstLine="0"/>
        <w:jc w:val="left"/>
      </w:pPr>
      <w:r>
        <w:rPr>
          <w:rFonts w:ascii="Times New Roman" w:hAnsi="Times New Roman" w:cs="Times New Roman" w:eastAsia="Times New Roman"/>
          <w:b/>
          <w:i w:val="0"/>
          <w:sz w:val="24"/>
        </w:rPr>
        <w:t>Sezione Quarta — il difetto di struttura del foglio degli archivi e la scissione prescritta</w:t>
      </w:r>
    </w:p>
    <w:p>
      <w:pPr>
        <w:spacing w:line="276" w:lineRule="auto" w:before="0" w:after="0"/>
        <w:ind w:firstLine="425"/>
        <w:jc w:val="both"/>
      </w:pPr>
      <w:r>
        <w:rPr>
          <w:rFonts w:ascii="Times New Roman" w:hAnsi="Times New Roman" w:cs="Times New Roman" w:eastAsia="Times New Roman"/>
          <w:b w:val="0"/>
          <w:i w:val="0"/>
          <w:sz w:val="24"/>
        </w:rPr>
        <w:t>Il foglio degli archivi si intitola «Archivi» e conta centoquarantadue voci, ma non è un censimento di archivi. L'analisi condotta nella presente sessione accerta che circa ottantuno voci descrivono effettivamente istituzioni archivistiche, fondi, portali o regimi normativi di accesso, mentre le restanti sessantuno, concentrate a partire dalla voce settantaduesima con poche eccezioni anteriori, non sono archivi: sono note analitiche, verifiche, rettifiche, chiusure di discrepanze, misurazioni diagnostiche e ricostruzioni prodotte dal lavoro stesso.</w:t>
      </w:r>
    </w:p>
    <w:p>
      <w:pPr>
        <w:spacing w:line="276" w:lineRule="auto" w:before="0" w:after="0"/>
        <w:ind w:firstLine="425"/>
        <w:jc w:val="both"/>
      </w:pPr>
      <w:r>
        <w:rPr>
          <w:rFonts w:ascii="Times New Roman" w:hAnsi="Times New Roman" w:cs="Times New Roman" w:eastAsia="Times New Roman"/>
          <w:b w:val="0"/>
          <w:i w:val="0"/>
          <w:sz w:val="24"/>
        </w:rPr>
        <w:t>La prova interna del difetto è formale e non interpretativa. Le voci della seconda specie recano, nella colonna intestata alla sede, non un luogo ma una fonte: la formula «Fonti: relazione della Commissione», la formula «Elaborazione sui novecentosessanta record», la formula «Misurazione diretta sui file di uscita», la formula «Esame diretto del file». Una colonna intestata Sede che in quelle righe contiene la provenienza di un ragionamento è la spia formale della mescolanza dei due piani.</w:t>
      </w:r>
    </w:p>
    <w:p>
      <w:pPr>
        <w:spacing w:line="276" w:lineRule="auto" w:before="0" w:after="0"/>
        <w:ind w:firstLine="425"/>
        <w:jc w:val="both"/>
      </w:pPr>
      <w:r>
        <w:rPr>
          <w:rFonts w:ascii="Times New Roman" w:hAnsi="Times New Roman" w:cs="Times New Roman" w:eastAsia="Times New Roman"/>
          <w:b w:val="0"/>
          <w:i w:val="0"/>
          <w:sz w:val="24"/>
        </w:rPr>
        <w:t>Il difetto non è di ordine ma di statuto, e viola direttamente il principio codificato secondo cui i prodotti del lavoro non sono fonti del lavoro. Un foglio che mescoli i due piani rende impossibile distinguere, alla lettura, ciò che l'opera ha trovato da ciò che l'opera ha concluso; e chiunque usasse il foglio per sapere dove cercare troverebbe, in due terzi finali, non indirizzi ma risultati già raggiunti. L'aggravante è che fra le voci della seconda specie ve ne sono alcune che misurano documenti prodotti dal progetto medesimo — le parti del Volume Zero, i registri maggiori, un gruppo di dodici monografie — e che sono dunque diagnosi del corpus su se stesso collocate nel repertorio delle fonti.</w:t>
      </w:r>
    </w:p>
    <w:p>
      <w:pPr>
        <w:spacing w:line="276" w:lineRule="auto" w:before="0" w:after="0"/>
        <w:ind w:firstLine="425"/>
        <w:jc w:val="both"/>
      </w:pPr>
      <w:r>
        <w:rPr>
          <w:rFonts w:ascii="Times New Roman" w:hAnsi="Times New Roman" w:cs="Times New Roman" w:eastAsia="Times New Roman"/>
          <w:b w:val="0"/>
          <w:i w:val="0"/>
          <w:sz w:val="24"/>
        </w:rPr>
        <w:t>Si prescrive pertanto la scissione del foglio in due, senza perdita di contenuto: un foglio recante le ottantuno voci proprie, intitolato agli archivi e ai regimi di accesso, e un foglio recante le sessantuno restanti, intitolato al registro analitico e diagnostico. Nessun contenuto va perduto; cambia soltanto lo statuto dichiarato, che è ciò che il metodo richiede. Si accerta inoltre che le sessantuno voci della seconda specie non sono verificabili con il metodo impiegato nella presente sessione, poiché non asseriscono l'esistenza di un archivio ma la correttezza di un'inferenza: verificarle significa rifare il ragionamento, operazione che appartiene alla revisione dell'opera e non al controllo del Repertorio, e che dovrà transitare per la Camera Istruttoria con verbale proprio. Si redige il verbale VT-0017, recante l'accertamento del difetto di struttura, la prescrizione della scissione e la riserva sulla verificabilità delle voci trasferite.</w:t>
      </w:r>
    </w:p>
    <w:p>
      <w:pPr>
        <w:spacing w:line="276" w:lineRule="auto" w:before="280" w:after="120"/>
        <w:ind w:firstLine="0"/>
        <w:jc w:val="left"/>
      </w:pPr>
      <w:r>
        <w:rPr>
          <w:rFonts w:ascii="Times New Roman" w:hAnsi="Times New Roman" w:cs="Times New Roman" w:eastAsia="Times New Roman"/>
          <w:b/>
          <w:i w:val="0"/>
          <w:sz w:val="24"/>
        </w:rPr>
        <w:t>Sezione Quinta — atto di istituzione dello strato integrativo degli archivi</w:t>
      </w:r>
    </w:p>
    <w:p>
      <w:pPr>
        <w:spacing w:line="276" w:lineRule="auto" w:before="0" w:after="0"/>
        <w:ind w:firstLine="425"/>
        <w:jc w:val="both"/>
      </w:pPr>
      <w:r>
        <w:rPr>
          <w:rFonts w:ascii="Times New Roman" w:hAnsi="Times New Roman" w:cs="Times New Roman" w:eastAsia="Times New Roman"/>
          <w:b w:val="0"/>
          <w:i w:val="0"/>
          <w:sz w:val="24"/>
        </w:rPr>
        <w:t>L'inventario degli archivi mondiali affini alla tematica dell'opera, condotto nella presente sessione, ha individuato otto lacune del Repertorio, tutte colmate con l'istituzione di un foglio integrativo recante ventotto voci, tutte verificate. Si enumerano le lacune e le acquisizioni che le colmano, con l'attribuzione degli identificativi di fonte.</w:t>
      </w:r>
    </w:p>
    <w:p>
      <w:pPr>
        <w:spacing w:line="276" w:lineRule="auto" w:before="0" w:after="0"/>
        <w:ind w:firstLine="425"/>
        <w:jc w:val="both"/>
      </w:pPr>
      <w:r>
        <w:rPr>
          <w:rFonts w:ascii="Times New Roman" w:hAnsi="Times New Roman" w:cs="Times New Roman" w:eastAsia="Times New Roman"/>
          <w:b w:val="0"/>
          <w:i w:val="0"/>
          <w:sz w:val="24"/>
        </w:rPr>
        <w:t>La prima e più estesa lacuna era l'intera rete degli archivi delle polizie politiche dell'Europa centro-orientale. Esiste, costituita a Berlino il sedici dicembre duemilaotto, una rete europea delle autorità ufficiali preposte agli atti delle polizie segrete, composta da otto istituzioni membri e cinque osservatori, e presieduta per il biennio duemilaventicinque-duemilaventisei dall'organo romeno; il Repertorio non ne censiva alcun membro, eccettuato l'archivio tedesco. Vi entrano ora: l'istituto polacco della memoria nazionale, istituito con legge del diciotto dicembre millenovecentonovantotto e operativo dal primo luglio duemila, che conserva gli atti degli organi di sicurezza dal ventidue luglio millenovecentoquarantaquattro al trentuno dicembre millenovecentottantanove, ivi compresi quelli dell'informazione e della controinformazione civile e militare, e il cui accesso agli stranieri è concesso su base di reciprocità; il consiglio romeno per lo studio degli archivi della sicurezza, che custodisce venticinque chilometri lineari per oltre due milioni di volumi ordinati secondo la logica dell'apparato che li produsse; l'archivio storico ungherese della sicurezza di Stato, istituito con legge del duemilatré; l'archivio ceco dei servizi di sicurezza, che al primo gennaio duemiladiciassette custodiva settecentoquarantotto fondi per quasi ventimila metri lineari e che dal duemilasedici consente ai ricercatori registrati la consultazione a distanza dei materiali digitalizzati; il comitato bulgaro, che custodisce anche gli atti dei servizi informativi dell'esercito; l'istituto slovacco, creato superando il veto del capo dello Stato; l'autorità albanese, che dal duemiladiciassette rende accessibili gli atti della sicurezza per gli anni dal millenovecentoquarantaquattro al millenovecentonovantuno; e gli osservatori baltici, fra i quali l'archivio speciale lituano, che custodisce oltre un milione trecentocinquantamila fascicoli per più di diciassettemila metri lineari nell'ex sede del servizio sovietico. A questo blocco si assegnano gli identificativi da FO-0220 a FO-0222.</w:t>
      </w:r>
    </w:p>
    <w:p>
      <w:pPr>
        <w:spacing w:line="276" w:lineRule="auto" w:before="0" w:after="0"/>
        <w:ind w:firstLine="425"/>
        <w:jc w:val="both"/>
      </w:pPr>
      <w:r>
        <w:rPr>
          <w:rFonts w:ascii="Times New Roman" w:hAnsi="Times New Roman" w:cs="Times New Roman" w:eastAsia="Times New Roman"/>
          <w:b w:val="0"/>
          <w:i w:val="0"/>
          <w:sz w:val="24"/>
        </w:rPr>
        <w:t>La seconda lacuna erano gli archivi di Cile, Uruguay e Bolivia, cioè di tre dei Paesi che il Repertorio medesimo indica fra i membri del coordinamento repressivo continentale, e dei quali censiva soltanto il Paraguay. Vi entrano ora: il museo della memoria e dei diritti umani di Santiago, le cui collezioni poggiano su fondi iscritti nel registro internazionale della memoria del mondo e comprendono decreti, bandi militari, elenchi nominativi e fascicoli di polizia per il periodo dal settembre millenovecentosettantatré al marzo millenovecentonovanta; l'archivio nazionale cileno della memoria, che dichiara di sé classificazione parziale e digitalizzazione minoritaria; l'archivio generale della nazione uruguaiano, al quale il ministero della difesa trasferì la documentazione nel duemiladiciannove e presso il quale una legge del maggio duemilaventiquattro istituisce una sezione destinata a riunire tutta l'informazione in possesso dello Stato, con un fondo già recuperato di milleduecentodiciotto rulli di microfilm per oltre tre milioni di immagini; e il fondo della commissione boliviana per la verità, istituita con legge del ventuno agosto duemiladiciassette il cui articolo settimo dispone la desecretazione dei documenti militari e di polizia, e la cui relazione finale fu consegnata nel marzo duemilaventuno in undici tomi. A questo blocco si assegnano gli identificativi da FO-0223 a FO-0225.</w:t>
      </w:r>
    </w:p>
    <w:p>
      <w:pPr>
        <w:spacing w:line="276" w:lineRule="auto" w:before="0" w:after="0"/>
        <w:ind w:firstLine="425"/>
        <w:jc w:val="both"/>
      </w:pPr>
      <w:r>
        <w:rPr>
          <w:rFonts w:ascii="Times New Roman" w:hAnsi="Times New Roman" w:cs="Times New Roman" w:eastAsia="Times New Roman"/>
          <w:b w:val="0"/>
          <w:i w:val="0"/>
          <w:sz w:val="24"/>
        </w:rPr>
        <w:t>La terza lacuna erano gli archivi della Santa Sede, a fronte di un intero dominio dell'opera dedicato alle istituzioni religiose. Vi entrano l'Archivio Apostolico Vaticano, che custodisce oltre seicento fondi su un arco di circa dodici secoli in ottantacinque chilometri lineari di scaffalature; l'archivio storico della Sezione per i Rapporti con gli Stati della Segreteria di Stato, che conserva la corrispondenza diplomatica ed è stato integralmente digitalizzato per il pontificato aperto; e l'archivio del dicastero dottrinale, che è la sede propria della posizione sulla massoneria che il Repertorio censisce nel merito senza censirne la sede. Si accerta e si iscrive il limite cronologico, che è il dato decisivo e va dichiarato accanto a ogni rinvio: la consultazione è consentita fino a tutto il pontificato chiusosi il nove ottobre millenovecentocinquantotto, e non oltre. L'Archivio non è dunque consultabile per il periodo repubblicano su cui l'opera lavora, e ciò che vi si può cercare riguarda le radici anteriori e il dopoguerra immediato. A questo blocco si assegna l'identificativo FO-0226.</w:t>
      </w:r>
    </w:p>
    <w:p>
      <w:pPr>
        <w:spacing w:line="276" w:lineRule="auto" w:before="0" w:after="0"/>
        <w:ind w:firstLine="425"/>
        <w:jc w:val="both"/>
      </w:pPr>
      <w:r>
        <w:rPr>
          <w:rFonts w:ascii="Times New Roman" w:hAnsi="Times New Roman" w:cs="Times New Roman" w:eastAsia="Times New Roman"/>
          <w:b w:val="0"/>
          <w:i w:val="0"/>
          <w:sz w:val="24"/>
        </w:rPr>
        <w:t>La quarta lacuna erano gli Archivi storici dell'Unione europea, che è la lacuna più direttamente pertinente alla tesi dell'opera. Essi hanno sede dal duemiladodici a Villa Salviati in Firenze, presso l'Istituto universitario europeo, e conservano, oltre ai fondi delle istituzioni comunitarie, i documenti privati di circa centocinquanta fra persone, movimenti e organizzazioni internazionali coinvolti nel processo di integrazione europea. La regola dei trent'anni rende consultabile, alla data odierna, la documentazione fino al millenovecentonovantasei circa. Va registrata la separazione strutturale per cui i fondi pubblici cartacei sono depositati a Firenze mentre i fondi riservati restano a Lussemburgo: ciò che non è a Firenze non è per questo distrutto. Se l'ipotesi dell'opera è che l'integrazione europea sia stata oggetto di un'ostilità convergente, l'archivio dei suoi promotori è la sede dove cercarne le tracce, e si trova in Italia. A questo blocco si assegna l'identificativo FO-0227.</w:t>
      </w:r>
    </w:p>
    <w:p>
      <w:pPr>
        <w:spacing w:line="276" w:lineRule="auto" w:before="0" w:after="0"/>
        <w:ind w:firstLine="425"/>
        <w:jc w:val="both"/>
      </w:pPr>
      <w:r>
        <w:rPr>
          <w:rFonts w:ascii="Times New Roman" w:hAnsi="Times New Roman" w:cs="Times New Roman" w:eastAsia="Times New Roman"/>
          <w:b w:val="0"/>
          <w:i w:val="0"/>
          <w:sz w:val="24"/>
        </w:rPr>
        <w:t>La quinta lacuna era l'archivio dell'Organizzazione del Trattato dell'Atlantico del Nord, che è la sede più pertinente al nono dominio dell'opera. Inaugurato il diciannove maggio millenovecentonovantanove con la declassificazione di circa trentatremila documenti, esso rende oggi disponibili in rete oltre quarantamila documenti digitalizzati, con la collezione completa degli staff internazionale e militare per il decennio dal millenovecentoquarantanove al millenovecentocinquantanove e serie ulteriori che arrivano gradualmente agli anni Novanta. Vanno iscritti due dati. Il primo è la clausola di riservatezza personale, che protrae il vincolo a cento anni dalla data di nascita dell'interessato ed è più lunga di qualunque termine altrove censito. Il secondo è l'avvertenza dell'ente stesso, secondo cui non tutti i documenti di un dato anno sono necessariamente approvati per la divulgazione: ne discende che, per il periodo di interesse dell'opera, l'assenza di un documento dalla piattaforma non equivale né alla sua inesistenza né a un diniego, ma alla condizione di non ancora esaminato. A questo blocco si assegna l'identificativo FO-0228.</w:t>
      </w:r>
    </w:p>
    <w:p>
      <w:pPr>
        <w:spacing w:line="276" w:lineRule="auto" w:before="0" w:after="0"/>
        <w:ind w:firstLine="425"/>
        <w:jc w:val="both"/>
      </w:pPr>
      <w:r>
        <w:rPr>
          <w:rFonts w:ascii="Times New Roman" w:hAnsi="Times New Roman" w:cs="Times New Roman" w:eastAsia="Times New Roman"/>
          <w:b w:val="0"/>
          <w:i w:val="0"/>
          <w:sz w:val="24"/>
        </w:rPr>
        <w:t>La sesta, la settima e l'ottava lacuna riguardavano rispettivamente gli archivi greci e turchi, quattro sedi italiane e i fondi portoghesi conservati presso una sede già censita. Sono state colmate con l'acquisizione degli archivi generali dello Stato greco, che operano su trentasette sedi e custodiscono fra l'altro il fondo del ministero militare; della direzione turca degli archivi di Stato, istituita nella forma attuale il sedici luglio duemiladiciotto e che ammette esplicitamente i ricercatori stranieri con catalogo consultabile a distanza; dell'archivio storico diplomatico del ministero degli Esteri italiano, che custodisce circa trenta chilometri lineari e che non versa la propria documentazione all'Archivio centrale dello Stato, circostanza che va conosciuta prima di trarre conclusioni da un'assenza; dell'archivio storico della Camera dei deputati, presso il quale sono versati alla conclusione dei lavori i documenti delle commissioni d'inchiesta che si concludano a Montecitorio, e il cui regolamento prevede che il segreto funzionale sia derogabile per autorizzazione presidenziale su istanza di una commissione o di un magistrato; e dei fondi portoghesi non censiti presso l'archivio nazionale di Lisbona, che custodisce oltre duemilacentoquaranta fondi e fra i quali si trovano i due servizi di centralizzazione delle informazioni coloniali, l'archivio personale del capo del governo e — separatamente — il fondo dei servizi di coordinamento dell'estinzione della polizia politica e quello della cooperativa dei suoi ex funzionari.</w:t>
      </w:r>
    </w:p>
    <w:p>
      <w:pPr>
        <w:spacing w:line="276" w:lineRule="auto" w:before="0" w:after="0"/>
        <w:ind w:firstLine="425"/>
        <w:jc w:val="both"/>
      </w:pPr>
      <w:r>
        <w:rPr>
          <w:rFonts w:ascii="Times New Roman" w:hAnsi="Times New Roman" w:cs="Times New Roman" w:eastAsia="Times New Roman"/>
          <w:b w:val="0"/>
          <w:i w:val="0"/>
          <w:sz w:val="24"/>
        </w:rPr>
        <w:t>Si istituiscono infine sette nodi nuovi, corrispondenti a persone individuate nel corso della verifica e non presenti nello strato dei nodi. ND-0040: Robert K. Thierry, colonnello inviato dal governo statunitense che nel maggio millenovecentocinquantasei stabilì il proprio ufficio nella sede della Dirección Nacional de Asuntos Técnicos in Asunción per addestrare i funzionari della dittatura nelle tecniche di controinsurrezione. ND-0041: Martín Almada, scopritore dell'archivio paraguaiano nel dicembre millenovecentonovantadue, nato nel millenovecentotrentasette e morto nel duemilaventiquattro. ND-0042: María Stella Cáceres, direttrice del museo di Asunción. ND-0043: Carlos Osorio, direttore del progetto sul Cono Sud dell'istituto non governativo di Washington, che presentò la documentazione desecretata nel processo argentino sul coordinamento continentale. ND-0044: Tony Badger, nominato revisore indipendente dal ministro degli Esteri britannico nel giugno duemilaundici per la selezione e il rilascio dei fascicoli coloniali. ND-0045: Agustín Fernández, giudice che diresse l'operazione di rinvenimento dell'archivio paraguaiano e che ordinò la chiusura della Dirección il giorno successivo. ND-0046: Otis Pike, presidente della commissione della Camera statunitense la cui relazione fu impedita dalla pubblicazione ufficiale.</w:t>
      </w:r>
    </w:p>
    <w:p>
      <w:pPr>
        <w:spacing w:line="276" w:lineRule="auto" w:before="0" w:after="0"/>
        <w:ind w:firstLine="425"/>
        <w:jc w:val="both"/>
      </w:pPr>
      <w:r>
        <w:rPr>
          <w:rFonts w:ascii="Times New Roman" w:hAnsi="Times New Roman" w:cs="Times New Roman" w:eastAsia="Times New Roman"/>
          <w:b w:val="0"/>
          <w:i w:val="0"/>
          <w:sz w:val="24"/>
        </w:rPr>
        <w:t>Si iscrive l'asserzione AS-0032: nel maggio millenovecentocinquantasei un ufficiale statunitense nominativamente individuato stabilì il proprio ufficio all'interno di quella che per oltre trent'anni fu la sede di detenzione e tortura della polizia politica paraguaiana, con la funzione dichiarata di addestrare i funzionari della dittatura alle tecniche di controinsurrezione. Grado **Livello B**, per fonte museale istituzionale e fonte enciclopedica concordanti, in attesa del riscontro sull'atto di nomina.</w:t>
      </w:r>
    </w:p>
    <w:p>
      <w:pPr>
        <w:spacing w:line="276" w:lineRule="auto" w:before="280" w:after="120"/>
        <w:ind w:firstLine="0"/>
        <w:jc w:val="left"/>
      </w:pPr>
      <w:r>
        <w:rPr>
          <w:rFonts w:ascii="Times New Roman" w:hAnsi="Times New Roman" w:cs="Times New Roman" w:eastAsia="Times New Roman"/>
          <w:b/>
          <w:i w:val="0"/>
          <w:sz w:val="24"/>
        </w:rPr>
        <w:t>Sezione Sesta — la regolarità delle aperture archivistiche</w:t>
      </w:r>
    </w:p>
    <w:p>
      <w:pPr>
        <w:spacing w:line="276" w:lineRule="auto" w:before="0" w:after="0"/>
        <w:ind w:firstLine="425"/>
        <w:jc w:val="both"/>
      </w:pPr>
      <w:r>
        <w:rPr>
          <w:rFonts w:ascii="Times New Roman" w:hAnsi="Times New Roman" w:cs="Times New Roman" w:eastAsia="Times New Roman"/>
          <w:b w:val="0"/>
          <w:i w:val="0"/>
          <w:sz w:val="24"/>
        </w:rPr>
        <w:t>Il censimento delle ventotto sedi di nuova istituzione, messo a confronto con le sedi già censite nei fogli degli archivi desecretati e degli archivi sudamericani, ha fatto emergere una regolarità che non era stata cercata e che costituisce il risultato metodologico principale della sessione. Nessuno degli archivi censiti ha aperto i propri fondi spontaneamente.</w:t>
      </w:r>
    </w:p>
    <w:p>
      <w:pPr>
        <w:spacing w:line="276" w:lineRule="auto" w:before="0" w:after="0"/>
        <w:ind w:firstLine="425"/>
        <w:jc w:val="both"/>
      </w:pPr>
      <w:r>
        <w:rPr>
          <w:rFonts w:ascii="Times New Roman" w:hAnsi="Times New Roman" w:cs="Times New Roman" w:eastAsia="Times New Roman"/>
          <w:b w:val="0"/>
          <w:i w:val="0"/>
          <w:sz w:val="24"/>
        </w:rPr>
        <w:t>Le aperture risultano ottenute nelle forme seguenti. Per causa giudiziaria negli Stati Uniti, dove la messa in rete degli undici milioni di pagine del sistema di ricerca dell'agenzia informativa seguì un contenzioso e dove, prima di esso, il sistema era accessibile soltanto dal lunedì al venerdì in orario d'ufficio presso una sede fisica. Per causa giudiziaria nel Regno Unito, dove l'esistenza di circa ottomilaottocento fascicoli provenienti da trentasette territori fu ammessa il sette aprile duemilaundici nel corso della discovery di una causa promossa da cinque anziani sopravvissuti kenioti, e dove il programma sistematico di sottrazione è noto con un nome proprio. Per dichiarazione di incostituzionalità e successivamente per scandalo in Ungheria, dove l'archivio nacque due volte, la prima nel millenovecentonovantasette dopo che la legge di lustrazione fu dichiarata incostituzionale e la seconda nel duemilatré dopo che si seppe dei rapporti di un ex capo di governo con un servizio straniero. Per superamento del veto presidenziale in Slovacchia, dove il Consiglio nazionale approvò nel duemiladue la legge istitutiva contro la volontà del capo dello Stato. Per contestazione pubblica delle cifre in Romania, dove la successione all'archivio avvenne nel marzo millenovecentonovanta per effetto di un decreto presidenziale non pubblicato e dove storici ed ex prigionieri politici contestarono le consistenze dichiarate argomentando per densità documentaria pro capite. Per crollo di regime in Portogallo, in Grecia, nel Cono Sud e nel blocco orientale. Per legge ottenuta su iniziativa delle organizzazioni delle vittime in Bolivia e in Uruguay. Per decisione pontificia in anticipo sui termini ordinari nella Santa Sede, dove l'apertura del due marzo duemilaventi giunse dopo quattordici anni di riordino e prima del termine consueto dei settantacinque anni. Per interruzione materiale di una distruzione in corso nella Germania orientale, dove l'occupazione delle sedi del ministero nell'inverno millenovecentottantanove-millenovecentonovanta pose fine alla distruzione degli atti allora in atto. E in un caso per divulgazione anonima di provenienza ignota, in Uruguay, dove nel duemilaventitré un soggetto mai identificato caricò su una piattaforma di rete oltre millecinquecento rulli digitalizzati di microfilm prodotti dall'intelligence militare, in numero superiore a quelli custoditi dall'archivio nazionale.</w:t>
      </w:r>
    </w:p>
    <w:p>
      <w:pPr>
        <w:spacing w:line="276" w:lineRule="auto" w:before="0" w:after="0"/>
        <w:ind w:firstLine="425"/>
        <w:jc w:val="both"/>
      </w:pPr>
      <w:r>
        <w:rPr>
          <w:rFonts w:ascii="Times New Roman" w:hAnsi="Times New Roman" w:cs="Times New Roman" w:eastAsia="Times New Roman"/>
          <w:b w:val="0"/>
          <w:i w:val="0"/>
          <w:sz w:val="24"/>
        </w:rPr>
        <w:t>Si iscrive l'asserzione AS-0033: nessuno degli archivi di apparati di sicurezza censiti dall'opera ha aperto i propri fondi in assenza di una causa esterna determinante, e la regolarità è osservata su quindici ordinamenti. Grado **Livello A**, per convergenza di fonti indipendenti eterogenee su ciascun caso e per l'estensione della casistica. Si iscrive il corollario operativo AS-0034: la data di apertura di un archivio è essa stessa un dato storico e va registrata accanto al contenuto, poiché dice in quale condizione politica quel contenuto sia divenuto conoscibile. Grado **Livello A** quale proposizione metodologica derivata.</w:t>
      </w:r>
    </w:p>
    <w:p>
      <w:pPr>
        <w:spacing w:line="276" w:lineRule="auto" w:before="0" w:after="0"/>
        <w:ind w:firstLine="425"/>
        <w:jc w:val="both"/>
      </w:pPr>
      <w:r>
        <w:rPr>
          <w:rFonts w:ascii="Times New Roman" w:hAnsi="Times New Roman" w:cs="Times New Roman" w:eastAsia="Times New Roman"/>
          <w:b w:val="0"/>
          <w:i w:val="0"/>
          <w:sz w:val="24"/>
        </w:rPr>
        <w:t>L'accertamento ha una conseguenza sulla Nota Metodologica che va dichiarata. L'opera aveva formulato per via teorica l'assunto secondo cui la densità documentaria misura l'attenzione e l'accessibilità e non l'intensità storica, e lo aveva denominato effetto lampione. La regolarità qui accertata fornisce a quell'assunto un fondamento empirico che esso non aveva: se l'accessibilità di un fondo è funzione di un rapporto di forza esterno all'apparato che lo custodisce, allora la densità documentaria di un periodo non misura ciò che in quel periodo accadde ma la forza con cui, in un momento successivo, qualcuno riuscì a strapparne il racconto. L'effetto lampione cessa di essere una cautela e diventa un accertamento.</w:t>
      </w:r>
    </w:p>
    <w:p>
      <w:pPr>
        <w:spacing w:line="276" w:lineRule="auto" w:before="0" w:after="0"/>
        <w:ind w:firstLine="425"/>
        <w:jc w:val="both"/>
      </w:pPr>
      <w:r>
        <w:rPr>
          <w:rFonts w:ascii="Times New Roman" w:hAnsi="Times New Roman" w:cs="Times New Roman" w:eastAsia="Times New Roman"/>
          <w:b w:val="0"/>
          <w:i w:val="0"/>
          <w:sz w:val="24"/>
        </w:rPr>
        <w:t>Si iscrive infine l'asserzione AS-0035, che verte sulle due forme opposte della sottrazione documentaria e completa la casistica dello spoliazione. L'archivio speciale lituano, inviando copie microfilmate a un istituto statunitense, rimosse taluni fascicoli e talune pagine per ragioni di riservatezza personale e indicò le rimozioni nell'elenco del contenuto di ciascuna bobina; il ministero degli Esteri britannico, per contro, non ha reso pubblici né l'inventario completo del materiale detenuto al momento della scoperta né gli elenchi dettagliati dei fascicoli distrutti, che pure l'amministrazione coloniale aveva necessariamente prodotto, imponendo richieste caso per caso. Nel primo caso l'inventario di ciò che manca esiste ed è dichiarato; nel secondo no. È la distinzione che separa una restrizione da un occultamento, ed è documentata da entrambi i lati. Grado **Livello A**, per riscontro diretto su entrambe le dichiarazioni. Si iscrive l'asserzione AS-0036: presso l'archivio britannico non è pubblico l'inventario della distruzione, e ottantottomila documenti del governo coloniale di Hong Kong restano non trasferiti, in parte protetti da un vincolo che durerà fino al duemilaquarantasette. Grado **Livello A** quale accertamento negativo, con marcatore di **Spoliazione** apposto in via permanente.</w:t>
      </w:r>
    </w:p>
    <w:p>
      <w:pPr>
        <w:spacing w:line="276" w:lineRule="auto" w:before="0" w:after="0"/>
        <w:ind w:firstLine="425"/>
        <w:jc w:val="both"/>
      </w:pPr>
      <w:r>
        <w:rPr>
          <w:rFonts w:ascii="Times New Roman" w:hAnsi="Times New Roman" w:cs="Times New Roman" w:eastAsia="Times New Roman"/>
          <w:b w:val="0"/>
          <w:i w:val="0"/>
          <w:sz w:val="24"/>
        </w:rPr>
        <w:t>Si redigono i verbali VT-0018, recante l'accertamento della regolarità delle aperture; VT-0019, recante la casistica delle due forme di sottrazione; VT-0020, recante l'istituzione dello strato integrativo degli archivi; VT-0021, recante il censimento del guasto di numerazione nelle due classi e le sette prove della regola.</w:t>
      </w:r>
    </w:p>
    <w:p>
      <w:pPr>
        <w:spacing w:line="276" w:lineRule="auto" w:before="280" w:after="120"/>
        <w:ind w:firstLine="0"/>
        <w:jc w:val="left"/>
      </w:pPr>
      <w:r>
        <w:rPr>
          <w:rFonts w:ascii="Times New Roman" w:hAnsi="Times New Roman" w:cs="Times New Roman" w:eastAsia="Times New Roman"/>
          <w:b/>
          <w:i w:val="0"/>
          <w:sz w:val="24"/>
        </w:rPr>
        <w:t>Sezione Settima — riconciliazione della tavola delle lacune</w:t>
      </w:r>
    </w:p>
    <w:p>
      <w:pPr>
        <w:spacing w:line="276" w:lineRule="auto" w:before="0" w:after="0"/>
        <w:ind w:firstLine="425"/>
        <w:jc w:val="both"/>
      </w:pPr>
      <w:r>
        <w:rPr>
          <w:rFonts w:ascii="Times New Roman" w:hAnsi="Times New Roman" w:cs="Times New Roman" w:eastAsia="Times New Roman"/>
          <w:b w:val="0"/>
          <w:i w:val="0"/>
          <w:sz w:val="24"/>
        </w:rPr>
        <w:t>La tavola consolidata dalla versione sessantaseiesima si riconcilia come segue. Del gruppo primo, perimetro e censimento, resta aperto il reintegro della Struttura dell'Opera V60, operazione riservata all'autore; resta aperto il censimento per singola voce dei cinque blocchi da FO-0215 a FO-0219; si aggiunge, come voce nuova, il censimento per singola voce dei nove blocchi da FO-0220 a FO-0228 istituiti dalla presente edizione.</w:t>
      </w:r>
    </w:p>
    <w:p>
      <w:pPr>
        <w:spacing w:line="276" w:lineRule="auto" w:before="0" w:after="0"/>
        <w:ind w:firstLine="425"/>
        <w:jc w:val="both"/>
      </w:pPr>
      <w:r>
        <w:rPr>
          <w:rFonts w:ascii="Times New Roman" w:hAnsi="Times New Roman" w:cs="Times New Roman" w:eastAsia="Times New Roman"/>
          <w:b w:val="0"/>
          <w:i w:val="0"/>
          <w:sz w:val="24"/>
        </w:rPr>
        <w:t>Del gruppo terzo, programma archivistico, si chiudono tre voci. Lo spoglio del fondo della polizia politica portoghese cessa di essere lacuna indeterminata e diventa operazione programmabile, poiché sono ora note la regola d'accesso propria di quel fondo, distinta dalle condizioni generali della sede, e l'esistenza presso la medesima sede di sei fondi correlati non censiti. Il segmento spagnolo-latinoamericano posteriore al millenovecentosettantaquattro trova la propria sede documentaria nel centro documentale di Salamanca, che custodisce il fondo del tribunale speciale per la repressione della massoneria e del comunismo con censimenti, credenziali e corrispondenza delle logge: è la fonte omologa più ampia esistente in Europa occidentale per un'opera che lavora su un elenco nominativo, e va acquisita con precedenza. La ricognizione delle sedi del Cono Sud si chiude con l'acquisizione dei tre Paesi mancanti. Restano aperte le altre voci del gruppo, e in particolare lo spoglio integrale dei volumi della serie diplomatica statunitense, che la presente edizione arricchisce del dato secondo cui la serie consta oggi di oltre quattrocentocinquanta volumi.</w:t>
      </w:r>
    </w:p>
    <w:p>
      <w:pPr>
        <w:spacing w:line="276" w:lineRule="auto" w:before="0" w:after="0"/>
        <w:ind w:firstLine="425"/>
        <w:jc w:val="both"/>
      </w:pPr>
      <w:r>
        <w:rPr>
          <w:rFonts w:ascii="Times New Roman" w:hAnsi="Times New Roman" w:cs="Times New Roman" w:eastAsia="Times New Roman"/>
          <w:b w:val="0"/>
          <w:i w:val="0"/>
          <w:sz w:val="24"/>
        </w:rPr>
        <w:t>Del gruppo quarto, diagnostica, si aggiungono due voci nuove. La prima è la lettura occorrenza per occorrenza delle cifre a tre e quattro posizioni in tutto il corpus, per isolare la seconda classe del guasto di numerazione, che non è riparabile per regola; la voce ha precedenza sulle altre del gruppo, poiché ogni computo condotto su cifre non lette è privo di fondamento. La seconda è l'applicazione del decodificatore ai registri V54, V58 e V63, che recano il guasto non riparato in misura stimata fra cinquecentottantacinque e seicentotto occorrenze ciascuno, e sui quali la riparazione condotta sul Repertorio non ha avuto effetto.</w:t>
      </w:r>
    </w:p>
    <w:p>
      <w:pPr>
        <w:spacing w:line="276" w:lineRule="auto" w:before="0" w:after="0"/>
        <w:ind w:firstLine="425"/>
        <w:jc w:val="both"/>
      </w:pPr>
      <w:r>
        <w:rPr>
          <w:rFonts w:ascii="Times New Roman" w:hAnsi="Times New Roman" w:cs="Times New Roman" w:eastAsia="Times New Roman"/>
          <w:b w:val="0"/>
          <w:i w:val="0"/>
          <w:sz w:val="24"/>
        </w:rPr>
        <w:t>Del gruppo sesto, lacune storiche della memoria, restano aperte tutte le voci: la lacuna Falcone-Procura di Mosca, il documento speculare statunitense sulle operazioni coperte in Italia, i due segmenti assenti della Nota V63. Si conferma aperta l'emenda toponomastica Hyperion, alla quale si affianca ora una seconda emenda toponomastica accertata, relativa alla base romana scoperta dalla seconda commissione sul caso Moro, dove l'atto reca viale e il Repertorio reca via.</w:t>
      </w:r>
    </w:p>
    <w:p>
      <w:pPr>
        <w:spacing w:line="276" w:lineRule="auto" w:before="0" w:after="0"/>
        <w:ind w:firstLine="425"/>
        <w:jc w:val="both"/>
      </w:pPr>
      <w:r>
        <w:rPr>
          <w:rFonts w:ascii="Times New Roman" w:hAnsi="Times New Roman" w:cs="Times New Roman" w:eastAsia="Times New Roman"/>
          <w:b w:val="0"/>
          <w:i w:val="0"/>
          <w:sz w:val="24"/>
        </w:rPr>
        <w:t>Si istituiscono infine, quali voci nuove della tavola, le dieci operazioni derivanti dalla presente verifica, in ordine di precedenza. Prima, il reinserimento dei nomi propri nel Repertorio, che è condizione di possibilità dell'uso reticolare e ha precedenza assoluta. Seconda, il controllo di completezza delle proposizioni citate, unico rimedio alla deformazione di misura, non automatizzabile. Terza, la lettura contestuale delle cifre della seconda classe. Quarta, l'eliminazione delle cinque duplicazioni accertate. Quinta, la compilazione della voce vuota relativa al processo bolognese. Sesta, il riallineamento della riga difettosa nel foglio sudamericano. Settima, la correzione dei sei errori di sostanza. Ottava, la scissione del foglio degli archivi in due fogli. Nona, la verifica delle circa sessanta voci-archivio residue, per la quale si prescrive la collazione preventiva con tre censimenti esistenti e redatti da personale archivistico: la guida alle fonti pubblicata dalla Rete italiana, il portale della medesima Rete, la cui ricerca è già articolata per eventi, persone, indagini e processi, documenti e organizzazioni, e la guida agli archivi di memoria e diritti umani cilena. Decima, l'acquisizione delle due opere mancanti sul corpus moroteo: l'edizione integrale del carteggio dalla prigionia curata da Miguel Gotor e l'Edizione nazionale delle opere, articolata in otto volumi in undici tomi più appendice, interamente digitale e gratuita, che il Repertorio non censisce pur censendone il memoriale e le lettere.</w:t>
      </w:r>
    </w:p>
    <w:p>
      <w:pPr>
        <w:spacing w:line="276" w:lineRule="auto" w:before="280" w:after="120"/>
        <w:ind w:firstLine="0"/>
        <w:jc w:val="left"/>
      </w:pPr>
      <w:r>
        <w:rPr>
          <w:rFonts w:ascii="Times New Roman" w:hAnsi="Times New Roman" w:cs="Times New Roman" w:eastAsia="Times New Roman"/>
          <w:b/>
          <w:i w:val="0"/>
          <w:sz w:val="24"/>
        </w:rPr>
        <w:t>Atto di incorporazione degli strati esistenti</w:t>
      </w:r>
    </w:p>
    <w:p>
      <w:pPr>
        <w:spacing w:line="276" w:lineRule="auto" w:before="0" w:after="0"/>
        <w:ind w:firstLine="425"/>
        <w:jc w:val="both"/>
      </w:pPr>
      <w:r>
        <w:rPr>
          <w:rFonts w:ascii="Times New Roman" w:hAnsi="Times New Roman" w:cs="Times New Roman" w:eastAsia="Times New Roman"/>
          <w:b w:val="0"/>
          <w:i w:val="0"/>
          <w:sz w:val="24"/>
        </w:rPr>
        <w:t>In ossequio alla federazione per riferimento e al principio di somma costituzionale, gli strati esistenti dell'opera entrano nella presente edizione alla loro edizione corrente, preservati verbatim, senza riscrittura, abbreviazione o parafrasi, con i loro corpi nelle rispettive sedi documentali collegate dagli identificativi stabili. Entrano così nella federazione: lo Strato Primo, delle fonti e della provenienza, costituito dallo strato inaugurale, dal censimento del corpus ALDO con la sezione del Gradiente di Derivazione, dalla tranche da FO-0215 a FO-0219 istituita dalla terza edizione e dalla tranche nuova da FO-0220 a FO-0228 istituita dalla presente; lo Strato Secondo, dei nodi, costituito dal Registro Analitico dei Nodi V55 con i sei registri di corpus, con la scheda-nodo Wanda Vannacci e il relativo addendum correttivo, e con i sette nodi nuovi da ND-0040 a ND-0046; lo Strato Terzo, delle asserzioni e degli archi, costituito dalla spina cumulata da AS-0001 ad AS-0027 e dalle nove asserzioni nuove da AS-0028 ad AS-0036; lo Strato Quarto, della diagnostica, costituito dalla Scheda della Mutua Informazione Puntuale del primo agosto con il protocollo di validazione, dal Registro degli Esiti Negativi e — di nuova incorporazione — dall'atto di verifica esterna del Repertorio con le sue centosettantasette annotazioni motivate, dal censimento del guasto di numerazione nelle due classi e dal foglio integrativo degli archivi; lo Strato Quinto, della contaminazione, costituito dal Registro D Titanico elevato a Camera Istruttoria, con la matrice riemessa, la mappa delle condotte da CD-0001 a CD-0016 e l'archivio dei verbali esteso a VT-0021; lo Strato Sesto, della narrazione, costituito dal Registro Integrale V63, custode dell'ordo expositionis per cerchi concentrici. Ai margini della federazione, quali strati archeologici non normativi, restano conservati i Registri Omnicomprensivi V54 e V58 e l'intera linea versionale pregressa, ivi comprese le tre edizioni precedenti del Registro Unico Federato, che nessuna edizione federata riscrive e alle quali si accede per sola consultazione storica. Ogni edizione del Registro Unico Federato è la somma degli strati alla loro edizione corrente più la spina e i dispositivi aggiornati, e la presente è la quarta di tale serie.</w:t>
      </w:r>
    </w:p>
    <w:p>
      <w:pPr>
        <w:spacing w:line="276" w:lineRule="auto" w:before="280" w:after="120"/>
        <w:ind w:firstLine="0"/>
        <w:jc w:val="left"/>
      </w:pPr>
      <w:r>
        <w:rPr>
          <w:rFonts w:ascii="Times New Roman" w:hAnsi="Times New Roman" w:cs="Times New Roman" w:eastAsia="Times New Roman"/>
          <w:b/>
          <w:i w:val="0"/>
          <w:sz w:val="24"/>
        </w:rPr>
        <w:t>Strato di revisione</w:t>
      </w:r>
    </w:p>
    <w:p>
      <w:pPr>
        <w:spacing w:line="276" w:lineRule="auto" w:before="0" w:after="0"/>
        <w:ind w:firstLine="425"/>
        <w:jc w:val="both"/>
      </w:pPr>
      <w:r>
        <w:rPr>
          <w:rFonts w:ascii="Times New Roman" w:hAnsi="Times New Roman" w:cs="Times New Roman" w:eastAsia="Times New Roman"/>
          <w:b w:val="0"/>
          <w:i w:val="0"/>
          <w:sz w:val="24"/>
        </w:rPr>
        <w:t>Giornale della versione sessantasettesima, cinque e sei agosto duemilaventisei. La sessione si è aperta con la ritrasmissione della Nota Metodologica da parte dell'autore e si è svolta come verifica esterna del Repertorio delle fonti condotta a blocchi, con dichiarazione a ogni blocco del numero di voci effettivamente chiuse. Il ruolo di revisione ha riletto la tavola nei suoi sei gruppi e ha selezionato le operazioni solvibili in sessione. La Sezione Prima ha chiuso centosettantasette voci su trecentotré, ha certificato l'assenza di atti inesistenti e ha dichiarato il limite del metodo. La Sezione Seconda ha censito il guasto di numerazione, ha scoperto la seconda classe e ha provato la regola sette volte, di cui quattro per riscontro esterno e tre per aritmetica interna. La Sezione Terza ha enumerato quattro classi di difetto e sei errori di sostanza, e ha modificato lo statuto delle due fonti parlamentari principali del corpus. La Sezione Quarta ha accertato il difetto di struttura del foglio degli archivi e ne ha prescritto la scissione. La Sezione Quinta ha istituito lo strato integrativo con ventotto sedi e ha colmato le otto lacune dell'inventario. La Sezione Sesta ha accertato la regolarità delle aperture archivistiche su quindici ordinamenti e ne ha tratto il fondamento empirico dell'effetto lampione. La Sezione Settima ha riconciliato la tavola, chiudendo tre voci del gruppo terzo e istituendone dodici nuove.</w:t>
      </w:r>
    </w:p>
    <w:p>
      <w:pPr>
        <w:spacing w:line="276" w:lineRule="auto" w:before="0" w:after="0"/>
        <w:ind w:firstLine="425"/>
        <w:jc w:val="both"/>
      </w:pPr>
      <w:r>
        <w:rPr>
          <w:rFonts w:ascii="Times New Roman" w:hAnsi="Times New Roman" w:cs="Times New Roman" w:eastAsia="Times New Roman"/>
          <w:b w:val="0"/>
          <w:i w:val="0"/>
          <w:sz w:val="24"/>
        </w:rPr>
        <w:t>Sistema degli identificativi stabili, elenco aggiornato alla presente edizione. Asserzioni: da AS-0001 ad AS-0027 come dalle edizioni precedenti; AS-0028, assenza di atti inesistenti nel Repertorio verificato; AS-0029, doppia classe del guasto di numerazione; AS-0030, omissione sistematica dei nomi propri; AS-0031, non unanimità delle due fonti parlamentari principali; AS-0032, ufficiale statunitense nella sede della polizia politica paraguaiana nel millenovecentocinquantasei; AS-0033, regolarità delle aperture archivistiche su quindici ordinamenti; AS-0034, la data di apertura come dato storico; AS-0035, le due forme opposte della sottrazione documentaria; AS-0036, inventario della distruzione non pubblico presso l'archivio britannico, con marcatore di **Spoliazione**. Nodi: da ND-0001 a ND-0039 come dalle edizioni precedenti; da ND-0040 a ND-0046 istituiti dalla presente. Condotte: da CD-0001 a CD-0016, mappa invariata, nessuna condotta nuova iscritta. Verbali di transito: da VT-0001 a VT-0016 come dalla terza edizione; VT-0017, difetto di struttura del foglio degli archivi; VT-0018, regolarità delle aperture; VT-0019, casistica della sottrazione; VT-0020, istituzione dello strato integrativo; VT-0021, censimento del guasto di numerazione. Fonti: da FO-0001 a FO-0219 come dalla terza edizione; FO-0220, rete europea degli archivi delle polizie politiche con le otto istituzioni membri; FO-0221, archivio speciale lituano e archivi baltici osservatori; FO-0222, archivi ceco e slovacco dei servizi di sicurezza; FO-0223, museo e archivio nazionale della memoria cileni; FO-0224, archivio generale della nazione uruguaiano e fondi collegati; FO-0225, fondo della commissione boliviana per la verità; FO-0226, archivi della Santa Sede nelle tre sedi; FO-0227, Archivi storici dell'Unione europea; FO-0228, archivio dell'Organizzazione del Trattato dell'Atlantico del Nord. Il censimento per singola voce dei nove blocchi nuovi è la tranche successiva dichiarata in tavola.</w:t>
      </w:r>
    </w:p>
    <w:p>
      <w:pPr>
        <w:spacing w:line="276" w:lineRule="auto" w:before="0" w:after="0"/>
        <w:ind w:firstLine="425"/>
        <w:jc w:val="both"/>
      </w:pPr>
      <w:r>
        <w:rPr>
          <w:rFonts w:ascii="Times New Roman" w:hAnsi="Times New Roman" w:cs="Times New Roman" w:eastAsia="Times New Roman"/>
          <w:b w:val="0"/>
          <w:i w:val="0"/>
          <w:sz w:val="24"/>
        </w:rPr>
        <w:t>Segnali diagnostici: nessuna passata nuova di mutua informazione puntuale nella presente edizione; la passata sul perimetro allargato resta programmata in tavola e si arricchisce ora della prescrizione che essa non sia eseguita prima della lettura contestuale delle cifre della seconda classe, poiché una passata condotta su valori non decodificati produrrebbe una firma temporale spuria.</w:t>
      </w:r>
    </w:p>
    <w:p>
      <w:pPr>
        <w:spacing w:line="276" w:lineRule="auto" w:before="280" w:after="120"/>
        <w:ind w:firstLine="0"/>
        <w:jc w:val="left"/>
      </w:pPr>
      <w:r>
        <w:rPr>
          <w:rFonts w:ascii="Times New Roman" w:hAnsi="Times New Roman" w:cs="Times New Roman" w:eastAsia="Times New Roman"/>
          <w:b/>
          <w:i w:val="0"/>
          <w:sz w:val="24"/>
        </w:rPr>
        <w:t>Colophon</w:t>
      </w:r>
    </w:p>
    <w:p>
      <w:pPr>
        <w:spacing w:line="276" w:lineRule="auto" w:before="0" w:after="0"/>
        <w:ind w:firstLine="425"/>
        <w:jc w:val="both"/>
      </w:pPr>
      <w:r>
        <w:rPr>
          <w:rFonts w:ascii="Times New Roman" w:hAnsi="Times New Roman" w:cs="Times New Roman" w:eastAsia="Times New Roman"/>
          <w:b w:val="0"/>
          <w:i w:val="0"/>
          <w:sz w:val="24"/>
        </w:rPr>
        <w:t>Il Registro Unico Federato, edizione quarta, versione sessantasettesima dell'opera ITALIA NERA, è promulgato il sei agosto duemilaventisei in esecuzione del mandato dell'autore e sotto la costituzione federativa dei Prompt Evoluti V64 e V65: il Metodo codificato in dieci assiomi, i fondamenti esterni della cascata, il Registro D quale Camera Istruttoria, lo standard probatorio Savona due punto uno in dieci componenti con la disciplina sui viventi due punto zero, il vincolo dei tre piani con il divieto inferenziale dal depistaggio al mandato, lo standard genealogico-onomastico, la codifica duale della fonte, il conteggio di indipendenza reale, il lessico calibrato dell'incertezza, le condizioni di falsificazione standardizzate, il marcatore di spoliazione e il Pattern Diciassette della contaminazione. L'edizione sottopone per la prima volta il Repertorio delle fonti a verifica esterna, chiude centosettantasette voci su trecentotré accertando l'assenza di atti inesistenti, censisce il guasto di numerazione nelle sue due classi provando la regola di decodifica sette volte, enumera quattro classi di difetto e sei errori di sostanza, modifica lo statuto delle due fonti parlamentari principali del corpus accertandone la non unanimità, prescrive la scissione del foglio degli archivi, istituisce lo strato integrativo con ventotto sedi archivistiche e nove identificativi di fonte, accerta la regolarità delle aperture archivistiche su quindici ordinamenti fornendo all'effetto lampione il fondamento empirico che gli mancava, porta le asserzioni a trentasei, i nodi a quarantasei e i verbali a ventuno, e riconcilia la tavola chiudendo tre voci e istituendone dodici.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