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ind w:firstLine="0"/>
        <w:jc w:val="center"/>
      </w:pPr>
      <w:r>
        <w:rPr>
          <w:rFonts w:ascii="Times New Roman" w:hAnsi="Times New Roman" w:cs="Times New Roman" w:eastAsia="Times New Roman"/>
          <w:b/>
          <w:i w:val="0"/>
          <w:sz w:val="32"/>
        </w:rPr>
        <w:t>ITALIA NERA</w:t>
      </w:r>
    </w:p>
    <w:p>
      <w:pPr>
        <w:spacing w:before="0" w:after="120" w:line="276" w:lineRule="auto"/>
        <w:ind w:firstLine="0"/>
        <w:jc w:val="center"/>
      </w:pPr>
      <w:r>
        <w:rPr>
          <w:rFonts w:ascii="Times New Roman" w:hAnsi="Times New Roman" w:cs="Times New Roman" w:eastAsia="Times New Roman"/>
          <w:b w:val="0"/>
          <w:i w:val="0"/>
          <w:sz w:val="24"/>
        </w:rPr>
        <w:t>Registro Analitico delle Reti Informali Transnazionali</w:t>
      </w:r>
    </w:p>
    <w:p>
      <w:pPr>
        <w:spacing w:before="240" w:after="120" w:line="276" w:lineRule="auto"/>
        <w:ind w:firstLine="0"/>
        <w:jc w:val="center"/>
      </w:pPr>
      <w:r>
        <w:rPr>
          <w:rFonts w:ascii="Times New Roman" w:hAnsi="Times New Roman" w:cs="Times New Roman" w:eastAsia="Times New Roman"/>
          <w:b/>
          <w:i w:val="0"/>
          <w:sz w:val="32"/>
        </w:rPr>
        <w:t>STRUTTURA DELL'OPERA</w:t>
      </w:r>
    </w:p>
    <w:p>
      <w:pPr>
        <w:spacing w:before="0" w:after="120" w:line="276" w:lineRule="auto"/>
        <w:ind w:firstLine="0"/>
        <w:jc w:val="center"/>
      </w:pPr>
      <w:r>
        <w:rPr>
          <w:rFonts w:ascii="Times New Roman" w:hAnsi="Times New Roman" w:cs="Times New Roman" w:eastAsia="Times New Roman"/>
          <w:b w:val="0"/>
          <w:i w:val="0"/>
          <w:sz w:val="24"/>
        </w:rPr>
        <w:t>Edizione sessantasettesima — L'architettura letteraria per cerchi concentrici, con la separazione formale dell'ordo expositionis dall'ordo probandi</w:t>
      </w:r>
    </w:p>
    <w:p>
      <w:pPr>
        <w:spacing w:before="0" w:after="120" w:line="276" w:lineRule="auto"/>
        <w:ind w:firstLine="0"/>
        <w:jc w:val="center"/>
      </w:pPr>
      <w:r>
        <w:rPr>
          <w:rFonts w:ascii="Times New Roman" w:hAnsi="Times New Roman" w:cs="Times New Roman" w:eastAsia="Times New Roman"/>
          <w:b w:val="0"/>
          <w:i w:val="0"/>
          <w:sz w:val="24"/>
        </w:rPr>
        <w:t>Luigi De Michele</w:t>
      </w:r>
    </w:p>
    <w:p>
      <w:pPr>
        <w:spacing w:before="0" w:after="120" w:line="276" w:lineRule="auto"/>
        <w:ind w:firstLine="0"/>
        <w:jc w:val="center"/>
      </w:pPr>
      <w:r>
        <w:rPr>
          <w:rFonts w:ascii="Times New Roman" w:hAnsi="Times New Roman" w:cs="Times New Roman" w:eastAsia="Times New Roman"/>
          <w:b w:val="0"/>
          <w:i w:val="0"/>
          <w:sz w:val="24"/>
        </w:rPr>
        <w:t>Cinque agosto duemilaventisei</w:t>
      </w:r>
    </w:p>
    <w:p>
      <w:pPr>
        <w:spacing w:before="360" w:after="160" w:line="276" w:lineRule="auto"/>
        <w:ind w:firstLine="0"/>
        <w:jc w:val="left"/>
      </w:pPr>
      <w:r>
        <w:rPr>
          <w:rFonts w:ascii="Times New Roman" w:hAnsi="Times New Roman" w:cs="Times New Roman" w:eastAsia="Times New Roman"/>
          <w:b/>
          <w:i w:val="0"/>
          <w:sz w:val="26"/>
        </w:rPr>
        <w:t>ATTO DI STRUTTURA E CLAUSOLA ANTITAUTOLOGICA</w:t>
      </w:r>
    </w:p>
    <w:p>
      <w:pPr>
        <w:spacing w:before="0" w:after="120" w:line="276" w:lineRule="auto"/>
        <w:ind w:firstLine="425"/>
        <w:jc w:val="both"/>
      </w:pPr>
      <w:r>
        <w:rPr>
          <w:rFonts w:ascii="Times New Roman" w:hAnsi="Times New Roman" w:cs="Times New Roman" w:eastAsia="Times New Roman"/>
          <w:b w:val="0"/>
          <w:i w:val="0"/>
          <w:sz w:val="24"/>
        </w:rPr>
        <w:t>La presente edizione è emessa in esecuzione del mandato d'autore del cinque agosto duemilaventisei, che ha ritrasmesso integralmente la Nota Metodologica dell'opera, ha consegnato l'ordine espositivo in dieci punti, ha prescritto l'estrazione e la memorizzazione del lessico ricorrente del corpus, l'incrocio sistematico di tale lessico su tutti i documenti della cartella, l'adozione del metodo dei cerchi concentrici e della propagazione a macchia d'olio dall'Italia al mondo, e la generazione di una struttura d'opera letteraria. Essa chiude la lacuna dichiarata aperta nella sessione del due agosto duemilaventisei, dove il censimento del perimetro accertava la presenza di duecentosettanta file per seicentottantaquattro virgola cinque megabyte e registrava, unica assenza residua, la Struttura dell'Opera, il cui reintegro era riservato all'autore. La Struttura qui promulgata sostituisce quel reintegro e ne assume la funzione: essere lo Strato Sesto dell'opera, custode dell'ordo expositionis, e null'altro.</w:t>
      </w:r>
    </w:p>
    <w:p>
      <w:pPr>
        <w:spacing w:before="0" w:after="120" w:line="276" w:lineRule="auto"/>
        <w:ind w:firstLine="425"/>
        <w:jc w:val="both"/>
      </w:pPr>
      <w:r>
        <w:rPr>
          <w:rFonts w:ascii="Times New Roman" w:hAnsi="Times New Roman" w:cs="Times New Roman" w:eastAsia="Times New Roman"/>
          <w:b w:val="0"/>
          <w:i w:val="0"/>
          <w:sz w:val="24"/>
        </w:rPr>
        <w:t>L'atto si apre con la clausola che ne governa ogni riga successiva, e che è imposta non da riserva estrinseca ma dalla Nota Metodologica medesima. Quella Nota, nella sezione dedicata al problema dell'induzione, formula il proprio antidoto permanente nei termini più espliciti che l'opera possieda: se si partisse dalla tesi che le due superpotenze convergono segretamente per impedire l'integrazione europea e si organizzasse il materiale in una struttura che irradia concentricamente da quel centro interpretativo, ogni dato tenderebbe a confermare la tesi per effetto della struttura stessa, non per forza intrinseca dell'evidenza; l'analista che dispone i dati in cerchi concentrici attorno alla propria ipotesi è strutturalmente nella posizione del tacchino di Russell. La gerarchia in dieci punti consegnata dall'autore è, alla lettera, quella tesi; e la prescrizione dei cerchi concentrici è, alla lettera, quella struttura. Eseguire l'ordine senza dispositivo di separazione significherebbe costruire l'opera esattamente nella forma che la sua metodologia vieta.</w:t>
      </w:r>
    </w:p>
    <w:p>
      <w:pPr>
        <w:spacing w:before="0" w:after="120" w:line="276" w:lineRule="auto"/>
        <w:ind w:firstLine="425"/>
        <w:jc w:val="both"/>
      </w:pPr>
      <w:r>
        <w:rPr>
          <w:rFonts w:ascii="Times New Roman" w:hAnsi="Times New Roman" w:cs="Times New Roman" w:eastAsia="Times New Roman"/>
          <w:b w:val="0"/>
          <w:i w:val="0"/>
          <w:sz w:val="24"/>
        </w:rPr>
        <w:t xml:space="preserve">Il dispositivo di separazione è quello già iscritto nelle edizioni sessantaquattresima, sessantacinquesima e sessantaseiesima del Registro Unico Federato, e la presente Struttura non lo innova ma lo applica. La gerarchia in dieci punti è ricevuta quale ordo expositionis: scheletro narrativo dell'opera, ordine in cui il lettore incontra la materia, architettura del racconto. Essa non è ricevuta quale ordo probandi: l'ordine della prova procede dal documento all'asserzione e dall'asserzione all'arco, dal basso verso l'alto, e da esso soltanto discendono i gradi Savona. La macro-ipotesi corrispondente all'ordine dei dieci punti, denominata H1 nella spina dell'opera, resta ciò che il metodo impone che sia: un'asserzione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formulata nel lessico calibrato dell'incertezza, affiancata dalle ipotesi concorrenti e dai suoi falsificatori designati, primo fra tutti la tesi di Alan Milward sulla salvezza dello Stato-nazione per mezzo dell'integrazione, che rovescia il segno del rapporto fra integrazione e sovranità e che l'opera mantiene permanentemente attiva quale proprio più forte confutatore. Chi cercasse in queste pagine una tesi dimostrata per costruzione troverà l'opposto: una struttura edificata perché la tesi possa essere smentita dai dati.</w:t>
      </w:r>
    </w:p>
    <w:p>
      <w:pPr>
        <w:spacing w:before="240" w:after="120" w:line="276" w:lineRule="auto"/>
        <w:ind w:firstLine="0"/>
        <w:jc w:val="left"/>
      </w:pPr>
      <w:r>
        <w:rPr>
          <w:rFonts w:ascii="Times New Roman" w:hAnsi="Times New Roman" w:cs="Times New Roman" w:eastAsia="Times New Roman"/>
          <w:b/>
          <w:i w:val="0"/>
          <w:sz w:val="24"/>
        </w:rPr>
        <w:t>I cinque risultati interni che il corpus ha già prodotto contro H1</w:t>
      </w:r>
    </w:p>
    <w:p>
      <w:pPr>
        <w:spacing w:before="0" w:after="120" w:line="276" w:lineRule="auto"/>
        <w:ind w:firstLine="425"/>
        <w:jc w:val="both"/>
      </w:pPr>
      <w:r>
        <w:rPr>
          <w:rFonts w:ascii="Times New Roman" w:hAnsi="Times New Roman" w:cs="Times New Roman" w:eastAsia="Times New Roman"/>
          <w:b w:val="0"/>
          <w:i w:val="0"/>
          <w:sz w:val="24"/>
        </w:rPr>
        <w:t>La disciplina della falsificazione non è, in questa sede, professione di intenti. Il corpus dell'opera ha già prodotto, per applicazione bottom-up del proprio metodo, cinque risultati che contraddicono o indeboliscono H1 nella sua formulazione forte, e la Struttura è tenuta a dichiararli in apertura, perché essi condizionano l'intera architettura che segue.</w:t>
      </w:r>
    </w:p>
    <w:p>
      <w:pPr>
        <w:spacing w:before="0" w:after="120" w:line="276" w:lineRule="auto"/>
        <w:ind w:firstLine="425"/>
        <w:jc w:val="both"/>
      </w:pPr>
      <w:r>
        <w:rPr>
          <w:rFonts w:ascii="Times New Roman" w:hAnsi="Times New Roman" w:cs="Times New Roman" w:eastAsia="Times New Roman"/>
          <w:b w:val="0"/>
          <w:i w:val="0"/>
          <w:sz w:val="24"/>
        </w:rPr>
        <w:t xml:space="preserve">Il primo risultato è il test pre-registrato di densità statistica sulle nove stragi nominate nella direttiva della Presidenza del Consiglio del duemilaquattordici. Il test ha misurato se la distribuzione temporale di quelle nove stragi si addensi attorno alle pietre miliari del processo di integrazione europea, ed ha restituito esito nullo, con probabilità pari a zero virgola sessanta al raggio di novanta giorni, e nullo a ogni raggio ulteriore testato. In ossequio al principio dell'accertamento negativo certificato, secondo cui l'assenza di prova rigorosamente stabilita si registra come fatto di pieno statuto, quell'esito nullo è registrato a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Esso non falsifica H1 nella sua interezza, poiché la convergenza ipotizzata potrebbe operare su tempi lunghi e non sul calendario degli eventi; ma falsifica ogni formulazione di H1 che pretenda una sincronia fra stragismo italiano e cronologia comunitaria, e tale formulazione era la più intuitiva e la più diffusa.</w:t>
      </w:r>
    </w:p>
    <w:p>
      <w:pPr>
        <w:spacing w:before="0" w:after="120" w:line="276" w:lineRule="auto"/>
        <w:ind w:firstLine="425"/>
        <w:jc w:val="both"/>
      </w:pPr>
      <w:r>
        <w:rPr>
          <w:rFonts w:ascii="Times New Roman" w:hAnsi="Times New Roman" w:cs="Times New Roman" w:eastAsia="Times New Roman"/>
          <w:b w:val="0"/>
          <w:i w:val="0"/>
          <w:sz w:val="24"/>
        </w:rPr>
        <w:t>Il secondo risultato è la biforcazione documentata delle due filiere transnazionali che l'opera ha ricostruito con maggiore profondità. Da un lato la filiera atlantista-controinsurrezionale che ha il proprio centro in Aginter Press, fondata a Lisbona nel settembre del millenovecentosessantasei da Yves Guillou, alias Yves Guérin-Sérac, reduce di Indocina, Corea e Algeria, già dell'undicesima Mezza Brigata Paracadutisti d'Urto legata alla Division Action del servizio francese e fondatore dell'Organisation Armée Secrète: filiera collegata alla polizia politica portoghese, alla Central Intelligence Agency, all'area di Ordine Nuovo e Avanguardia Nazionale, e definita dall'istruttoria del giudice Guido Salvini di linea occidentale più che neofascista, persino filo-israeliana. Dall'altro lato la filiera antiatlantista-nazionaleuropea che ha il proprio capostipite in Jean Thiriart, fondatore di Jeune Europe nel millenovecentosessantadue, teorico nel manifesto del millenovecentosessantaquattro di un impero europeo di quattrocento milioni di uomini dall'Atlantico agli Urali, poi evoluto verso l'auspicio di un impero euro-sovietico da Dublino a Vladivostok, e antiamericano per costituzione dottrinale. Fra le due filiere l'opera non ha trovato contatti documentati diretti: l'accertamento è di assenza di riscontro, e la sovrapposizione che esiste passa esclusivamente per l'area ordinovista-avanguardista, non per Thiriart. Questo dato è il più pesante che il corpus abbia prodotto contro H1, perché H1 postula convergenza dove i documenti mostrano opposizione dottrinale strutturale e separazione operativa.</w:t>
      </w:r>
    </w:p>
    <w:p>
      <w:pPr>
        <w:spacing w:before="0" w:after="120" w:line="276" w:lineRule="auto"/>
        <w:ind w:firstLine="425"/>
        <w:jc w:val="both"/>
      </w:pPr>
      <w:r>
        <w:rPr>
          <w:rFonts w:ascii="Times New Roman" w:hAnsi="Times New Roman" w:cs="Times New Roman" w:eastAsia="Times New Roman"/>
          <w:b w:val="0"/>
          <w:i w:val="0"/>
          <w:sz w:val="24"/>
        </w:rPr>
        <w:t xml:space="preserve">Il terzo risultato è l'esito della competizione fra le cinque ipotesi concorrenti sul caso Moro, condotta secondo la metodologia dell'analisi delle ipotesi concorrenti di Richards Heuer. L'ipotesi prima, dell'autosufficienza dell'organizzazione, coincide sostanzialmente con l'accertamento giudiziario definitivo, è la più economica e la meno contraddetta, e il Registro la mantiene attiva quale falsificatore più forte di ogni ipotesi alternativa, con la funzione che nel Registro generale è assegnata a Milward. L'ipotesi seconda, dell'eterodirezione, resta a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nessun elemento del corpus la eleva e diversi elementi la contraddicono, segnatamente la coerenza interna della catena decisionale ricostruita in sede giudiziaria. L'ipotesi quinta, del primato endogeno, secondo cui tanto il sequestro quanto la sua gestione si spiegano integralmente con le dinamiche interne al sistema politico italiano, raggiunge il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Il caso più carico di aspettative dell'intera materia italiana restituisce dunque, sotto metodo, il primato della spiegazione endogena.</w:t>
      </w:r>
    </w:p>
    <w:p>
      <w:pPr>
        <w:spacing w:before="0" w:after="120" w:line="276" w:lineRule="auto"/>
        <w:ind w:firstLine="425"/>
        <w:jc w:val="both"/>
      </w:pPr>
      <w:r>
        <w:rPr>
          <w:rFonts w:ascii="Times New Roman" w:hAnsi="Times New Roman" w:cs="Times New Roman" w:eastAsia="Times New Roman"/>
          <w:b w:val="0"/>
          <w:i w:val="0"/>
          <w:sz w:val="24"/>
        </w:rPr>
        <w:t xml:space="preserve">Il quarto risultato è la presenza nel corpus di nodi che contraddicono la macro-tesi per orientamento documentato, primo fra essi il nodo Chiorazzo con orientamento pro-europeo accertato: falsificante parziale interno, e prova che il metodo bottom-up produce risultati che smentiscono la macro-tesi anziché confermarla per costruzione. Il quinto risultato è di ordine formale ma non minore: nella verifica delle asserzioni della spina, la macro-ipotesi H1 non raggiunge in alcuna delle sue formulazioni forti la soglia dei tre canali indipendenti richiesta dal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e le sue ipotesi concorrenti restano tutte attive, comprese quella della convergenza emergente e non concertata e quella secondo cui il processo di integrazione fu ostacolato in misura preponderante da fattori interni agli Stati europei.</w:t>
      </w:r>
    </w:p>
    <w:p>
      <w:pPr>
        <w:spacing w:before="240" w:after="120" w:line="276" w:lineRule="auto"/>
        <w:ind w:firstLine="0"/>
        <w:jc w:val="left"/>
      </w:pPr>
      <w:r>
        <w:rPr>
          <w:rFonts w:ascii="Times New Roman" w:hAnsi="Times New Roman" w:cs="Times New Roman" w:eastAsia="Times New Roman"/>
          <w:b/>
          <w:i w:val="0"/>
          <w:sz w:val="24"/>
        </w:rPr>
        <w:t>L'ipotesi seconda: la tesi rivista e la ragione della sua maggiore fecondità</w:t>
      </w:r>
    </w:p>
    <w:p>
      <w:pPr>
        <w:spacing w:before="0" w:after="120" w:line="276" w:lineRule="auto"/>
        <w:ind w:firstLine="425"/>
        <w:jc w:val="both"/>
      </w:pPr>
      <w:r>
        <w:rPr>
          <w:rFonts w:ascii="Times New Roman" w:hAnsi="Times New Roman" w:cs="Times New Roman" w:eastAsia="Times New Roman"/>
          <w:b w:val="0"/>
          <w:i w:val="0"/>
          <w:sz w:val="24"/>
        </w:rPr>
        <w:t xml:space="preserve">Dai cinque risultati emerge, per via induttiva disciplinata e non per postulato, una seconda macro-ipotesi che la presente Struttura iscrive formalmente nella spina con la denominazione H2 e con lo stesso grado di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attribuito ad H1, ma con un numero superiore di successi esplicativi documentati. H2 si enuncia così: gli attori primari della vicenda furono europei, non extraeuropei; le potenze esterne furono strumentalizzate dagli attori europei almeno quanto li strumentalizzarono; e ciò che si fronteggiò sul terreno italiano ed europeo non fu l'Europa contro le due superpotenze, ma due progetti europei rivali di unificazione autoritaria, entrambi ostili all'unificazione democratico-costituzionale e ciascuno alla ricerca di un proprio sponsor imperiale. Il primo progetto è quello atlantista-controinsurrezionale, che cerca in Washington il proprio garante e trova nella dottrina della guerre révolutionnaire franco-algerina, nella rete lisbonense e nel dispositivo stay-behind la propria infrastruttura. Il secondo è quello antiatlantista-eurasiatista, che cerca in Mosca il proprio garante e trova in Thiriart il proprio capostipite, nel nazimaoismo e nel nazionalbolscevismo le proprie stazioni intermedie, e in Aleksandr Dugin il proprio sistematizzatore.</w:t>
      </w:r>
    </w:p>
    <w:p>
      <w:pPr>
        <w:spacing w:before="0" w:after="120" w:line="276" w:lineRule="auto"/>
        <w:ind w:firstLine="425"/>
        <w:jc w:val="both"/>
      </w:pPr>
      <w:r>
        <w:rPr>
          <w:rFonts w:ascii="Times New Roman" w:hAnsi="Times New Roman" w:cs="Times New Roman" w:eastAsia="Times New Roman"/>
          <w:b w:val="0"/>
          <w:i w:val="0"/>
          <w:sz w:val="24"/>
        </w:rPr>
        <w:t>H2 è più feconda di H1 per quattro ragioni misurabili. In primo luogo spiega la biforcazione documentata delle due filiere, che H1 non spiega e anzi contraddice: se il motore fosse la convergenza delle due superpotenze, le due filiere dovrebbero comunicare, e non comunicano. In secondo luogo spiega l'esito nullo del test statistico: se il bersaglio non fu mai il calendario comunitario ma l'equilibrio politico interno degli Stati, l'assenza di addensamento attorno alle pietre miliari dell'integrazione è ciò che ci si deve attendere, non un'anomalia. In terzo luogo spiega la continuità biografica cinquantennale che porta da Jeune Europe alle reti filorusse contemporanee attraverso passaggi verificabili — la militanza giovanile in Jeune Europe, il transito per il nazionalrivoluzionarismo carcerario, l'infrastruttura editoriale di Ar, del Veltro, di Barbarossa, di Orion e di Eurasia, l'invito a Dugin in Italia dal millenovecentonovantadue, l'ingresso di Dugin nel comitato editoriale di Elementi nel millenovecentonovantuno, la missione moscovita dell'agosto millenovecentonovantadue e la morte di Thiriart tre mesi dopo — e la spiega come progetto europeo che si cerca uno sponsor russo, non come progetto russo che recluta europei. In quarto luogo spiega il primato della spiegazione endogena emerso dal caso Moro, che H1 può soltanto registrare come anomalia.</w:t>
      </w:r>
    </w:p>
    <w:p>
      <w:pPr>
        <w:spacing w:before="0" w:after="120" w:line="276" w:lineRule="auto"/>
        <w:ind w:firstLine="425"/>
        <w:jc w:val="both"/>
      </w:pPr>
      <w:r>
        <w:rPr>
          <w:rFonts w:ascii="Times New Roman" w:hAnsi="Times New Roman" w:cs="Times New Roman" w:eastAsia="Times New Roman"/>
          <w:b w:val="0"/>
          <w:i w:val="0"/>
          <w:sz w:val="24"/>
        </w:rPr>
        <w:t>Le due macro-ipotesi restano in competizione secondo il protocollo dell'analisi delle ipotesi concorrenti, e la Struttura non aggiudica. Ma la Struttura dichiara che l'ordo expositionis dell'opera segue la gerarchia in dieci punti consegnata dall'autore, e che ciò non implica alcuna aggiudicazione, perché l'ordine del racconto non è l'ordine della prova. Il lettore percorrerà l'opera nell'ordine che pone al centro la questione europea e attorno ad essa la pressione delle potenze esterne; ma incontrerà, a ogni volume, il grado assegnato, le ipotesi concorrenti e le condizioni di falsificazione, e potrà in ogni punto rovesciare la lettura. Questa è la sola forma in cui una tesi audace può essere raccontata senza essere imposta.</w:t>
      </w:r>
    </w:p>
    <w:p>
      <w:pPr>
        <w:spacing w:before="360" w:after="160" w:line="276" w:lineRule="auto"/>
        <w:ind w:firstLine="0"/>
        <w:jc w:val="left"/>
      </w:pPr>
      <w:r>
        <w:rPr>
          <w:rFonts w:ascii="Times New Roman" w:hAnsi="Times New Roman" w:cs="Times New Roman" w:eastAsia="Times New Roman"/>
          <w:b/>
          <w:i w:val="0"/>
          <w:sz w:val="26"/>
        </w:rPr>
        <w:t>PARTE PRIMA — IL LESSICO DELLE CHIAVI</w:t>
      </w:r>
    </w:p>
    <w:p>
      <w:pPr>
        <w:spacing w:before="0" w:after="120" w:line="276" w:lineRule="auto"/>
        <w:ind w:firstLine="425"/>
        <w:jc w:val="both"/>
      </w:pPr>
      <w:r>
        <w:rPr>
          <w:rFonts w:ascii="Times New Roman" w:hAnsi="Times New Roman" w:cs="Times New Roman" w:eastAsia="Times New Roman"/>
          <w:b w:val="0"/>
          <w:i w:val="0"/>
          <w:sz w:val="24"/>
        </w:rPr>
        <w:t>Il mandato prescrive l'estrazione, la memorizzazione e l'incrocio sistematico delle centinaia di parole-chiave che ricorrono nei documenti del corpus. L'estrazione è stata condotta per ricorrenza attraverso documenti distinti, secondo il criterio già adottato dalla Scheda Diagnostica della Mutua Informazione Puntuale: una chiave entra nel lessico se compare in almeno tre documenti genealogicamente indipendenti, e il conteggio dell'indipendenza è computato contro la genealogia dei canali, sicché più documenti che derivino da un medesimo sequestro, da una medesima deposizione o da una medesima catena di ripubblicazioni collassano in un'unica unità. Il lessico che segue è organizzato in dodici famiglie ed è il set d'interrogazione da cui discendono gli archi della Parte Quarta. Esso è dichiarato aperto: ogni sessione può accrescerlo, nessuna può ridurlo senza verbale.</w:t>
      </w:r>
    </w:p>
    <w:p>
      <w:pPr>
        <w:spacing w:before="0" w:after="120" w:line="276" w:lineRule="auto"/>
        <w:ind w:firstLine="425"/>
        <w:jc w:val="both"/>
      </w:pPr>
      <w:r>
        <w:rPr>
          <w:rFonts w:ascii="Times New Roman" w:hAnsi="Times New Roman" w:cs="Times New Roman" w:eastAsia="Times New Roman"/>
          <w:b w:val="0"/>
          <w:i w:val="0"/>
          <w:sz w:val="24"/>
        </w:rPr>
        <w:t>Famiglia prima, i nomi-cerniera, ossia gli individui che il corpus attesta simultaneamente in tre o più Domini e che perciò concentrano la betweenness centrality dell'intera rete. Licio Gelli, Michele Sindona, Roberto Calvi, Umberto Ortolani, Paul Marcinkus, Giulio Andreotti, Salvo Lima, Vito Ciancimino, Stefano Delle Chiaie, Yves Guérin-Sérac, Robert Leroy, Guido Giannettini, Junio Valerio Borghese, Vito Miceli, Gianadelio Maletti, Federico Umberto D'Amato, Pippo Calò, Massimo Carminati, Franco Giuseppucci, Flavio Carboni, Ernesto Diotallevi, Giorgio Ambrosoli, Mino Pecorelli, Otto Skorzeny, Reinhard Gehlen, Heinz Felfe, Jean Thiriart, Claudio Mutti, Maurizio Murelli, Franco Freda, Mario Borghezio, Gianluca Savoini, Aleksandr Dugin, Aleksandr Prochanov, Gennadij Zjuganov, Egor Ligacev, Nikolaj Klokotov, Alain de Benoist, Robert Steuckers, Jacques Foccart, Charles Pasqua, Alparslan Türkeş, Abdullah Çatlı, Casimiro Monteiro, Orlando Cristina, Evo Fernandes, Jorge Jardim, Jean Ousset, Konstantin Malofeev, Gennaro Mokbel, Totò Riina, Stefano Bontate, Salvatore Inzerillo, John Gambino, Tommaso Buscetta, Giovanni Falcone, Paolo Borsellino, Tina Anselmi, Guido Salvini, Aldo Moro.</w:t>
      </w:r>
    </w:p>
    <w:p>
      <w:pPr>
        <w:spacing w:before="0" w:after="120" w:line="276" w:lineRule="auto"/>
        <w:ind w:firstLine="425"/>
        <w:jc w:val="both"/>
      </w:pPr>
      <w:r>
        <w:rPr>
          <w:rFonts w:ascii="Times New Roman" w:hAnsi="Times New Roman" w:cs="Times New Roman" w:eastAsia="Times New Roman"/>
          <w:b w:val="0"/>
          <w:i w:val="0"/>
          <w:sz w:val="24"/>
        </w:rPr>
        <w:t>Famiglia seconda, le sigle dell'intelligence. Sul versante italiano: SIFAR, SID, SISMI, SISDE, CESIS, AISE, AISI, DIS, Ufficio Affari Riservati, Reparto D, ROS, DIA, Direzione Centrale per i Servizi Antidroga. Sul versante alleato: OSS, CIA, FBI, NSA, Defense Intelligence Agency, MI6, SDECE, DGSE, Bundesnachrichtendienst, Organizzazione Gehlen, Mossad. Sul versante avverso: KGB, GRU, SVR, FSB e il suo Quinto Servizio, StB, Securitate. Sul versante iberico, lusofono e australe: PIDE, DGS, SDCI, BOSS, Republican Intelligence, Security Branch, Directorate of Military Intelligence, Central Intelligence Organisation rhodesiana. Sul versante anatolico: Millî İstihbarat Teşkilâtı.</w:t>
      </w:r>
    </w:p>
    <w:p>
      <w:pPr>
        <w:spacing w:before="0" w:after="120" w:line="276" w:lineRule="auto"/>
        <w:ind w:firstLine="425"/>
        <w:jc w:val="both"/>
      </w:pPr>
      <w:r>
        <w:rPr>
          <w:rFonts w:ascii="Times New Roman" w:hAnsi="Times New Roman" w:cs="Times New Roman" w:eastAsia="Times New Roman"/>
          <w:b w:val="0"/>
          <w:i w:val="0"/>
          <w:sz w:val="24"/>
        </w:rPr>
        <w:t>Famiglia terza, le strutture clandestine e la rete stay-behind. Gladio con i suoi seicentoventidue quadri censiti al millenovecentonovanta e il centro di addestramento di Capo Marrargiu; l'Allied Clandestine Committee e il Clandestine Planning Committee quali organi di raccordo atlantico; l'Anello, il Noto Servizio, la Rosa dei Venti, i Nuclei di Difesa dello Stato quali strutture parallele italiane; e le strutture sorelle documentate nel resto d'Europa, ossia P-ventisei in Svizzera, ROC in Norvegia, SDRA-otto in Belgio, Glaive in Lussemburgo, OW-Network nei Paesi Bassi, Kontr-Gerilla in Turchia, ÖWSGV in Austria, Rete Anders in Grecia, GAL in Spagna. Accanto ad esse, e da esse rigorosamente distinte quanto a statuto probatorio, le strutture private di controinsurrezione: Aginter Press, l'Organisation d'Action contre le Communisme International, Ordre et Tradition, il Paladin Group di Albufereta, l'Exército de Libertação de Portugal e il Movimento Democrático de Libertação de Portugal.</w:t>
      </w:r>
    </w:p>
    <w:p>
      <w:pPr>
        <w:spacing w:before="0" w:after="120" w:line="276" w:lineRule="auto"/>
        <w:ind w:firstLine="425"/>
        <w:jc w:val="both"/>
      </w:pPr>
      <w:r>
        <w:rPr>
          <w:rFonts w:ascii="Times New Roman" w:hAnsi="Times New Roman" w:cs="Times New Roman" w:eastAsia="Times New Roman"/>
          <w:b w:val="0"/>
          <w:i w:val="0"/>
          <w:sz w:val="24"/>
        </w:rPr>
        <w:t>Famiglia quarta, le logge e i sodalizi. Propaganda Due con la lista dei novecentosessantadue rinvenuta a Castiglion Fibocchi il diciassette marzo millenovecentottantuno e con il Piano di Rinascita Democratica; il Grande Oriente d'Italia e la Gran Loggia d'Italia; le logge coperte successive, dalla cosiddetta P3 alla Loggia Ungheria; le strutture isomorfe estere, dalla sezione argentina della P2 alla Loggia di Monte Carlo e alla Loggia San Marco; il Sovrano Militare Ordine di Malta; Le Cercle e Ordre et Tradition nella loro intersezione sudafricana; e sul versante dottrinale La Cité Catholique di Jean Ousset, la Tradición Familia Propiedad, il Groupement de recherche et d'études pour la civilisation européenne di Alain de Benoist e la galassia della Nouvelle Droite.</w:t>
      </w:r>
    </w:p>
    <w:p>
      <w:pPr>
        <w:spacing w:before="0" w:after="120" w:line="276" w:lineRule="auto"/>
        <w:ind w:firstLine="425"/>
        <w:jc w:val="both"/>
      </w:pPr>
      <w:r>
        <w:rPr>
          <w:rFonts w:ascii="Times New Roman" w:hAnsi="Times New Roman" w:cs="Times New Roman" w:eastAsia="Times New Roman"/>
          <w:b w:val="0"/>
          <w:i w:val="0"/>
          <w:sz w:val="24"/>
        </w:rPr>
        <w:t>Famiglia quinta, le organizzazioni eversive e l'infrastruttura editoriale che le tiene insieme. A destra: Ordine Nuovo, Avanguardia Nazionale, Fronte Nazionale, Nuclei Armati Rivoluzionari, Terza Posizione, Lotta di Popolo, Jeune Europe, La Nazione Europea. A sinistra: Brigate Rosse, Prima Linea, Nuclei Armati Proletari, Azione Rivoluzionaria. Nella zona di indistinzione: Hyperion, con l'emenda toponomastica dichiarata e ancora pendente che sostituisce l'indirizzo romano erroneamente circolante con Quai de la Tournelle ventisette a Parigi. E l'infrastruttura editoriale, che il corpus indica come tessuto connettivo più solido dei singoli rapporti personali: Edizioni di Ar, Edizioni all'insegna del Veltro, Società Editrice Barbarossa e AGA, le riviste QUEX, Orion, Elementi ed Eurasia, con i loro autori condivisi — Codreanu, Evola, Guénon, Thiriart, Dugin, Zjuganov — e le loro traduzioni incrociate.</w:t>
      </w:r>
    </w:p>
    <w:p>
      <w:pPr>
        <w:spacing w:before="0" w:after="120" w:line="276" w:lineRule="auto"/>
        <w:ind w:firstLine="425"/>
        <w:jc w:val="both"/>
      </w:pPr>
      <w:r>
        <w:rPr>
          <w:rFonts w:ascii="Times New Roman" w:hAnsi="Times New Roman" w:cs="Times New Roman" w:eastAsia="Times New Roman"/>
          <w:b w:val="0"/>
          <w:i w:val="0"/>
          <w:sz w:val="24"/>
        </w:rPr>
        <w:t>Famiglia sesta, le organizzazioni criminali. Cosa Nostra siciliana con la Commissione, i mandamenti e l'egemonia corleonese; Cosa Nostra americana con le famiglie di New York, Detroit, Tampa e Pittston; la 'Ndrangheta con il Crimine di Polsi, i locali, le 'ndrine e le proiezioni renane e lombarde, con i gruppi Pelle-Vottari, Morabito e Pannunzi, e con Gioia Tauro quale principale porta d'ingresso europea della cocaina sudamericana; la Camorra con la Nuova Camorra Organizzata e la Nuova Famiglia; la Sacra Corona Unita; la Banda della Magliana quale braccio secolare romano; e le organizzazioni straniere operanti sul territorio, dalla Bratva alle Triadi, dalla mafia albanese alla mafia nigeriana, fino ai cartelli sudamericani e messicani con i quali il corpus registra un isomorfismo strutturale della 'Ndrangheta come confederazione orizzontale federata.</w:t>
      </w:r>
    </w:p>
    <w:p>
      <w:pPr>
        <w:spacing w:before="0" w:after="120" w:line="276" w:lineRule="auto"/>
        <w:ind w:firstLine="425"/>
        <w:jc w:val="both"/>
      </w:pPr>
      <w:r>
        <w:rPr>
          <w:rFonts w:ascii="Times New Roman" w:hAnsi="Times New Roman" w:cs="Times New Roman" w:eastAsia="Times New Roman"/>
          <w:b w:val="0"/>
          <w:i w:val="0"/>
          <w:sz w:val="24"/>
        </w:rPr>
        <w:t>Famiglia settima, i nodi finanziari e le rotte del transito. Istituto per le Opere di Religione, Banco Ambrosiano, Banca Privata Italiana, Franklin National Bank, Banca Cattolica del Veneto, Compendium SA di Lussemburgo e la corona di società schermo panamensi; le piazze del riciclaggio, da Lugano a Nassau, da Panama a Vaduz; e, per il periodo contemporaneo, la Banca Russa di Credito Finanziario, Aviazapchast, Konti LLC e l'albergo Metropol. La ragione per cui questa famiglia è tenuta unita attraverso mezzo secolo è l'accertamento di isomorfismo strutturale già iscritto nel corpus: la componente bancaria che canalizza fondi da un sistema occulto verso destinatari politici tramite società offshore, la componente di intelligence che opera attraverso intermediari finanziari, e il collasso che trasferisce il debito attraverso società-schermo, si ripetono con la medesima topologia nel Banco Ambrosiano del millenovecentottantadue e nella Banca Russa di Credito Finanziario del duemilasedici.</w:t>
      </w:r>
    </w:p>
    <w:p>
      <w:pPr>
        <w:spacing w:before="0" w:after="120" w:line="276" w:lineRule="auto"/>
        <w:ind w:firstLine="425"/>
        <w:jc w:val="both"/>
      </w:pPr>
      <w:r>
        <w:rPr>
          <w:rFonts w:ascii="Times New Roman" w:hAnsi="Times New Roman" w:cs="Times New Roman" w:eastAsia="Times New Roman"/>
          <w:b w:val="0"/>
          <w:i w:val="0"/>
          <w:sz w:val="24"/>
        </w:rPr>
        <w:t>Famiglia ottava, gli eventi e le date. Piazza Fontana il dodici dicembre millenovecentosessantanove; Gioia Tauro; Peteano; la Questura di Milano; Piazza della Loggia; l'Italicus; la stazione di Bologna; il Rapido novecentoquattro; Ustica; via Fani e via Caetani; via D'Amelio e Capaci; via dei Georgofili, via Palestro, San Giorgio al Velabro e San Giovanni in Laterano. Accanto ad essi, gli eventi di apparato: il Piano Solo, il golpe Borghese nella notte fra il sette e l'otto dicembre millenovecentosettanta con l'occupazione del Viminale e il contrordine mai spiegato, la Rosa dei Venti, la Rivoluzione dei Garofani del venticinque aprile millenovecentosettantaquattro con la dispersione della rete lisbonense, il rinvenimento di Castiglion Fibocchi, il ponte dei Frati Neri il diciotto giugno millenovecentottantadue, il golpe di García Meza in Bolivia nel millenovecentottanta, la rivelazione di Gladio nell'ottobre millenovecentonovanta, l'apertura degli archivi russi nel millenovecentonovantuno e la loro richiusura, culminata nella liquidazione di Memorial International nel dicembre duemilaventuno.</w:t>
      </w:r>
    </w:p>
    <w:p>
      <w:pPr>
        <w:spacing w:before="0" w:after="120" w:line="276" w:lineRule="auto"/>
        <w:ind w:firstLine="425"/>
        <w:jc w:val="both"/>
      </w:pPr>
      <w:r>
        <w:rPr>
          <w:rFonts w:ascii="Times New Roman" w:hAnsi="Times New Roman" w:cs="Times New Roman" w:eastAsia="Times New Roman"/>
          <w:b w:val="0"/>
          <w:i w:val="0"/>
          <w:sz w:val="24"/>
        </w:rPr>
        <w:t>Famiglia nona, i luoghi di convergenza, che il decimo Pattern tratta come indicatore più forte della semplice co-occorrenza temporale perché implicano la possibilità del contatto fisico quotidiano. Rua das Praças a Lisbona; Albufereta di Alicante; Villa Wanda ad Arezzo; Capo Marrargiu in Sardegna; Piazza del Gesù a Roma, a pochi passi dalla Santa Sede e dallo IOR; via Ruggiero Settimo a Palermo; Quai de la Tournelle ventisette a Parigi; le basi atlantiche di Aviano, Sigonella, Vicenza e Napoli; e, sui teatri periferici, Madrid, Buenos Aires, La Paz, Salisbury, Pretoria e Richards Bay, dove Casimiro Monteiro morì protetto il venticinque gennaio millenovecentonovantatré.</w:t>
      </w:r>
    </w:p>
    <w:p>
      <w:pPr>
        <w:spacing w:before="0" w:after="120" w:line="276" w:lineRule="auto"/>
        <w:ind w:firstLine="425"/>
        <w:jc w:val="both"/>
      </w:pPr>
      <w:r>
        <w:rPr>
          <w:rFonts w:ascii="Times New Roman" w:hAnsi="Times New Roman" w:cs="Times New Roman" w:eastAsia="Times New Roman"/>
          <w:b w:val="0"/>
          <w:i w:val="0"/>
          <w:sz w:val="24"/>
        </w:rPr>
        <w:t>Famiglia decima, gli atti e le fonti primarie che l'opera tratta come pilastri non aggirabili. La Relazione della Commissione parlamentare d'inchiesta sulla Loggia P2 presieduta da Tina Anselmi; gli atti e i documenti della Commissione Stragi, con la serie Doc. XXIII; l'ordinanza-sentenza del giudice Guido Salvini e la relazione del ROS sull'Aginter Press e il Piano Caos del ventisei luglio millenovecentonovantasei; la perizia Giannuli; gli atti della Commissione Moro e della Commissione Antimafia; il fondo dell'Ufficio Affari Riservati; la National Intelligence Estimate ventiquattro-cinquantaquattro e la serie declassificata della Central Intelligence Agency sull'Italia; i fondi RG duecentoventisei dell'OSS e l'archivio CREST; i volumi senatoriali statunitensi sulle misure attive russe; i fondi PIDE e DGS dell'Arquivo Nacional da Torre do Tombo; la serie BLAZE dei processi verbali dell'Ufficio di Presidenza della decima legislatura; il corpus integrale degli scritti di Aldo Moro dal millenovecentotrentadue al millenovecentosettantotto; gli atti delle operazioni Pollino e Crimine.</w:t>
      </w:r>
    </w:p>
    <w:p>
      <w:pPr>
        <w:spacing w:before="0" w:after="120" w:line="276" w:lineRule="auto"/>
        <w:ind w:firstLine="425"/>
        <w:jc w:val="both"/>
      </w:pPr>
      <w:r>
        <w:rPr>
          <w:rFonts w:ascii="Times New Roman" w:hAnsi="Times New Roman" w:cs="Times New Roman" w:eastAsia="Times New Roman"/>
          <w:b w:val="0"/>
          <w:i w:val="0"/>
          <w:sz w:val="24"/>
        </w:rPr>
        <w:t>Famiglia undicesima, i concetti operativi che l'opera adopera come strumenti e non come slogan. Strategia della tensione, guerre révolutionnaire, terrorismo sotto falsa bandiera, depistaggio, spoliazione, doppio livello, servizio deviato, camera di compensazione strutturale, inversione anselmiana. Accanto ad essi il lessico tecnico della rete: arco di collusione, arco di strumentalizzazione, arco di infiltrazione, arco di convergenza, arco di transito; degree, betweenness, closeness ed eigenvector centrality; buco strutturale e indice di constraint; modularità e comunità; isomorfismo strutturale; effetto lampione, che ricorda come la densità documentaria misuri l'attenzione e non l'intensità storica. E infine il lessico dottrinale della seconda filiera: rossobrunismo, nazionalbolscevismo, quarta teoria politica, etnopluralismo, tradizione evolo-thiriartiana, talassocrazia e tellurocrazia.</w:t>
      </w:r>
    </w:p>
    <w:p>
      <w:pPr>
        <w:spacing w:before="0" w:after="120" w:line="276" w:lineRule="auto"/>
        <w:ind w:firstLine="425"/>
        <w:jc w:val="both"/>
      </w:pPr>
      <w:r>
        <w:rPr>
          <w:rFonts w:ascii="Times New Roman" w:hAnsi="Times New Roman" w:cs="Times New Roman" w:eastAsia="Times New Roman"/>
          <w:b w:val="0"/>
          <w:i w:val="0"/>
          <w:sz w:val="24"/>
        </w:rPr>
        <w:t>Famiglia dodicesima, le parole sentinella, che per statuto non si elencano ma si scoprono. Il quindicesimo Pattern è dichiarato operativo e aperto e costituisce la linea di ricerca filologica dell'opera: esso confronta gli usi lessicali e le forme abbreviative di uno scrivente con quelli attestati nella sua produzione anteriore, per rilevare discontinuità che possano indicare condizionamento, dettatura o interpolazione. Il corpus integrale degli scritti di Aldo Moro rende l'operazione possibile su base statistica per il caso che più la richiede. La famiglia dodicesima è dunque, allo stato, un contenitore con protocollo dichiarato e contenuto da produrre.</w:t>
      </w:r>
    </w:p>
    <w:p>
      <w:pPr>
        <w:spacing w:before="240" w:after="120" w:line="276" w:lineRule="auto"/>
        <w:ind w:firstLine="0"/>
        <w:jc w:val="left"/>
      </w:pPr>
      <w:r>
        <w:rPr>
          <w:rFonts w:ascii="Times New Roman" w:hAnsi="Times New Roman" w:cs="Times New Roman" w:eastAsia="Times New Roman"/>
          <w:b/>
          <w:i w:val="0"/>
          <w:sz w:val="24"/>
        </w:rPr>
        <w:t>La regola dell'incrocio</w:t>
      </w:r>
    </w:p>
    <w:p>
      <w:pPr>
        <w:spacing w:before="0" w:after="120" w:line="276" w:lineRule="auto"/>
        <w:ind w:firstLine="425"/>
        <w:jc w:val="both"/>
      </w:pPr>
      <w:r>
        <w:rPr>
          <w:rFonts w:ascii="Times New Roman" w:hAnsi="Times New Roman" w:cs="Times New Roman" w:eastAsia="Times New Roman"/>
          <w:b w:val="0"/>
          <w:i w:val="0"/>
          <w:sz w:val="24"/>
        </w:rPr>
        <w:t>L'incrocio delle dodici famiglie non produce di per sé conoscenza, e la Struttura fissa la regola che ne governa l'uso, perché è il punto in cui il metodo può degenerare più rapidamente. Una co-occorrenza fra due chiavi non è un arco. Essa è un segnale diagnostico, e per diventare arco deve superare tre soglie in sequenza: una soglia statistica, ossia la deviazione significativa da un modello nullo esplicito con correzione per molteplicità, poiché quando le coppie candidate si contano a migliaia il controllo del tasso di false scoperte non è raffinatezza ma necessità; una soglia genealogica, ossia il conteggio dell'indipendenza reale computato contro la genealogia dei canali; e una soglia istruttoria, ossia il transito per la Camera Istruttoria con verbale, dove si amministrano i quattro test diagnostici — il filo di paglia, il cerchio, la pistola fumante e il doppiamente decisivo — e si assegna il grado. I segnali che non superano le soglie non spariscono: si iscrivono al Registro degli Esiti Negativi, perché un archivio di soli esiti positivi mente per costruzione.</w:t>
      </w:r>
    </w:p>
    <w:p>
      <w:pPr>
        <w:spacing w:before="360" w:after="160" w:line="276" w:lineRule="auto"/>
        <w:ind w:firstLine="0"/>
        <w:jc w:val="left"/>
      </w:pPr>
      <w:r>
        <w:rPr>
          <w:rFonts w:ascii="Times New Roman" w:hAnsi="Times New Roman" w:cs="Times New Roman" w:eastAsia="Times New Roman"/>
          <w:b/>
          <w:i w:val="0"/>
          <w:sz w:val="26"/>
        </w:rPr>
        <w:t>PARTE SECONDA — I CERCHI CONCENTRICI E LA LEGGE DELLA PROPAGAZIONE</w:t>
      </w:r>
    </w:p>
    <w:p>
      <w:pPr>
        <w:spacing w:before="0" w:after="120" w:line="276" w:lineRule="auto"/>
        <w:ind w:firstLine="425"/>
        <w:jc w:val="both"/>
      </w:pPr>
      <w:r>
        <w:rPr>
          <w:rFonts w:ascii="Times New Roman" w:hAnsi="Times New Roman" w:cs="Times New Roman" w:eastAsia="Times New Roman"/>
          <w:b w:val="0"/>
          <w:i w:val="0"/>
          <w:sz w:val="24"/>
        </w:rPr>
        <w:t>Il mandato prescrive l'adozione dei cerchi concentrici e della propagazione a macchia d'olio, dall'Italia quale campo di battaglia verso il mondo intero. La Struttura accoglie la prescrizione e la disciplina con una legge unica, dalla quale dipende che essa produca conoscenza anziché tautologia: nessun cerchio si allarga per somiglianza. Ogni allargamento transita per un arco documentato con grado assegnato, e la propagazione si arresta dove l'arco manca. La macchia d'olio è un'immagine narrativa, non un dispositivo probatorio; e la distinzione fra le due cose è ciò che separa questa architettura dal genere letterario che essa deve evitare, nel quale la contiguità tematica viene fatta passare per nesso causale. Dove l'arco manca, la Struttura non tace: dichiara la lacuna, la iscrive in tavola e le assegna una predizione verificabile, ossia il documento che, se reperito, la chiuderebbe.</w:t>
      </w:r>
    </w:p>
    <w:p>
      <w:pPr>
        <w:spacing w:before="0" w:after="120" w:line="276" w:lineRule="auto"/>
        <w:ind w:firstLine="425"/>
        <w:jc w:val="both"/>
      </w:pPr>
      <w:r>
        <w:rPr>
          <w:rFonts w:ascii="Times New Roman" w:hAnsi="Times New Roman" w:cs="Times New Roman" w:eastAsia="Times New Roman"/>
          <w:b w:val="0"/>
          <w:i w:val="0"/>
          <w:sz w:val="24"/>
        </w:rPr>
        <w:t>Il Cerchio Zero è l'Italia. Esso è il campo di battaglia non perché sia il centro del mondo, ma perché è il luogo in cui la densità documentaria è massima e in cui l'accertamento giudiziario e parlamentare ha prodotto il corpus più esteso che una democrazia occidentale abbia mai generato sulle proprie reti informali. La Struttura registra qui, in via preliminare e permanente, l'avvertenza dell'effetto lampione: che l'Italia appaia il centro della vicenda può dipendere dal fatto che è il paese meglio illuminato, non il paese in cui accadde di più. L'avvertenza non è retorica. Essa impone un obbligo operativo, che è quello di verificare, per ogni pattern italiano identificato, se il medesimo pattern sia assente altrove o soltanto non documentato altrove; e di dichiarare quale delle due cose si è accertato.</w:t>
      </w:r>
    </w:p>
    <w:p>
      <w:pPr>
        <w:spacing w:before="0" w:after="120" w:line="276" w:lineRule="auto"/>
        <w:ind w:firstLine="425"/>
        <w:jc w:val="both"/>
      </w:pPr>
      <w:r>
        <w:rPr>
          <w:rFonts w:ascii="Times New Roman" w:hAnsi="Times New Roman" w:cs="Times New Roman" w:eastAsia="Times New Roman"/>
          <w:b w:val="0"/>
          <w:i w:val="0"/>
          <w:sz w:val="24"/>
        </w:rPr>
        <w:t xml:space="preserve">Il Cerchio Primo è l'Europa mediterranea e il fianco sud dell'Alleanza: Portogallo, Spagna, Grecia, Turchia. È il cerchio in cui la filiera atlantista-controinsurrezionale ha la propria infrastruttura materiale, e la sua unità non è geografica ma funzionale: sono i quattro paesi in cui, fra il millenovecentosessantasette e il millenovecentosettantaquattro, il regime autoritario o il colpo di Stato fu strumento e non eccezione. Lisbona con Aginter Press e la polizia politica; Madrid con il gruppo di Delle Chiaie e il Paladin Group di Albufereta; Atene con i colonnelli e la Rete Anders; Ankara con i Lupi Grigi, Alparslan Türkeş e la Kontr-Gerilla. La propagazione verso questo cerchio è sostenuta da archi documentati e non da analogia: l'addestramento all'esplosivo di militanti di Avanguardia Nazionale a Roma nel millenovecentosessantasette e millenovecentosessantotto da parte di istruttori di Aginter è accertato dagli atti della Commissione Stragi e dall'istruttoria Salvini e vale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la conoscenza fra Guérin-Sérac e Guido Giannettini dal millenovecentosessantaquattro a Lisbona, tramite il capitano Souêtre, vale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l'identificazione di Aginter come nodo portoghese della rete stay-behind vale invece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perché nasce da un reportage giornalistico del millenovecentonovanta, viene raccolta da Stuart Christie e sistematizzata da Daniele Ganser, e nessun documento fondativo collega formalmente Aginter alle strutture atlantiche di raccordo.</w:t>
      </w:r>
    </w:p>
    <w:p>
      <w:pPr>
        <w:spacing w:before="0" w:after="120" w:line="276" w:lineRule="auto"/>
        <w:ind w:firstLine="425"/>
        <w:jc w:val="both"/>
      </w:pPr>
      <w:r>
        <w:rPr>
          <w:rFonts w:ascii="Times New Roman" w:hAnsi="Times New Roman" w:cs="Times New Roman" w:eastAsia="Times New Roman"/>
          <w:b w:val="0"/>
          <w:i w:val="0"/>
          <w:sz w:val="24"/>
        </w:rPr>
        <w:t>Il Cerchio Secondo è l'Europa continentale: Francia, Germania, Belgio, Svizzera, Austria. È il cerchio della dottrina e della biforcazione. In Francia la dottrina della guerre révolutionnaire nasce dall'esperienza indocinese e algerina, passa attraverso La Cité Catholique di Jean Ousset e si esporta in America Latina; l'Organisation Armée Secrète genera la diaspora da cui esce Guérin-Sérac; il Service d'Action Civique, fondato nel millenovecentocinquantanove in ambiente gollista e legato a Jacques Foccart e a Charles Pasqua, prosegue le proprie attività sotto le presidenze successive. In Belgio nasce nel millenovecentosessantadue Jeune Europe, ed è dal Belgio che parte la traiettoria che condurrà a Mosca trent'anni dopo. In Germania la Organizzazione Gehlen fonda il servizio federale e ne trasmette insieme i quadri e le vulnerabilità, di cui il caso Heinz Felfe è il paradigma della penetrazione sovietica dell'apparato atlantico. Il dato che questo cerchio consegna all'opera è il più importante che essa possieda: qui le due filiere sono entrambe presenti, entrambe attive, e non si toccano. L'arco Guérin-Sérac–Thiriart è, allo stato del corpus, un'assenza di riscontro accertata; e l'assenza accertata è un dato di pieno statuto.</w:t>
      </w:r>
    </w:p>
    <w:p>
      <w:pPr>
        <w:spacing w:before="0" w:after="120" w:line="276" w:lineRule="auto"/>
        <w:ind w:firstLine="425"/>
        <w:jc w:val="both"/>
      </w:pPr>
      <w:r>
        <w:rPr>
          <w:rFonts w:ascii="Times New Roman" w:hAnsi="Times New Roman" w:cs="Times New Roman" w:eastAsia="Times New Roman"/>
          <w:b w:val="0"/>
          <w:i w:val="0"/>
          <w:sz w:val="24"/>
        </w:rPr>
        <w:t>Il Cerchio Terzo è quello delle potenze esterne: Stati Uniti, Unione Sovietica e poi Federazione Russa, Regno Unito, Israele. È il cerchio che la gerarchia dell'autore colloca al secondo posto e che l'ordo probandi colloca invece in posizione subordinata, per la ragione che qui la documentazione è più scarsa e più contaminata che altrove. Sul versante statunitense l'opera dispone della serie declassificata della Central Intelligence Agency, dei fondi dell'OSS e dell'archivio CREST, e ha registrato come lacuna aperta l'identificazione del documento speculare sulle operazioni coperte in Italia. Sul versante sovietico e russo l'opera dispone dei volumi senatoriali sulle misure attive e dei materiali resi accessibili nella finestra del millenovecentonovantuno e millenovecentonovantadue, e registra la richiusura successiva quale spoliazione documentata, con il marcatore apposto e con le due sole inferenze che la dottrina consente. La regola che governa questo cerchio è quella dei tre piani: il piano dell'esecuzione, il piano dell'apparato e il piano del mandato non si confondono, e il divieto inferenziale dal depistaggio accertato al mandato asserito è assoluto.</w:t>
      </w:r>
    </w:p>
    <w:p>
      <w:pPr>
        <w:spacing w:before="0" w:after="120" w:line="276" w:lineRule="auto"/>
        <w:ind w:firstLine="425"/>
        <w:jc w:val="both"/>
      </w:pPr>
      <w:r>
        <w:rPr>
          <w:rFonts w:ascii="Times New Roman" w:hAnsi="Times New Roman" w:cs="Times New Roman" w:eastAsia="Times New Roman"/>
          <w:b w:val="0"/>
          <w:i w:val="0"/>
          <w:sz w:val="24"/>
        </w:rPr>
        <w:t>Il Cerchio Quarto è quello dei teatri periferici, dove le reti europee si prolungano e dove la loro natura si rivela meglio che in patria, perché fuori dal proprio ordinamento esse agiscono con minore mascheramento. America Latina, con il Piano Condor, il golpe di García Meza in Bolivia nel millenovecentottanta e la presenza documentata del gruppo di Madrid; Africa australe, con il teatro coloniale portoghese, l'infiltrazione di Robert Leroy nel FRELIMO fra il millenovecentosessantotto e il millenovecentosessantanove, il santuario sudafricano della filiera ex-PIDE, e la serie monografica già prodotta dall'opera sui rapporti fra il Sudafrica dell'apartheid e Germania, Argentina, Italia, Brasile, Cile, Paraguay, Israele, Regno Unito, Unione Sovietica, Patto di Varsavia e Cina; Medio Oriente, con le reti del terrorismo internazionale sul territorio italiano. Anche qui vale la regola della propagazione: il santuario sudafricano riguarda persone e non strutture, ed è continuità della filiera ex-PIDE e non dell'agenzia di Guérin-Sérac; la fallacia da evitare è far collassare il secondo piano nel primo.</w:t>
      </w:r>
    </w:p>
    <w:p>
      <w:pPr>
        <w:spacing w:before="0" w:after="120" w:line="276" w:lineRule="auto"/>
        <w:ind w:firstLine="425"/>
        <w:jc w:val="both"/>
      </w:pPr>
      <w:r>
        <w:rPr>
          <w:rFonts w:ascii="Times New Roman" w:hAnsi="Times New Roman" w:cs="Times New Roman" w:eastAsia="Times New Roman"/>
          <w:b w:val="0"/>
          <w:i w:val="0"/>
          <w:sz w:val="24"/>
        </w:rPr>
        <w:t>Il Cerchio Quinto è il presente, dal duemilauno al duemilaventisei. Esso non è appendice ma verifica: è il luogo in cui le ipotesi formulate sui decenni precedenti diventano falsificabili contro fatti ancora in formazione. Vi appartengono la sistematizzazione duginiana e la sua infrastruttura di traduzione, le associazioni bilaterali, il caso dell'albergo Metropol del diciotto ottobre duemiladiciotto chiuso con archiviazione nell'aprile duemilaventitré — archiviazione che è non procedibilità e non assoluzione nel merito —, l'isomorfismo accertato fra il polo finanziario occulto degli anni Settanta e Ottanta e le architetture finanziarie russe del decennio scorso, la proiezione europea della 'Ndrangheta e la guerra informativa. La disciplina sui viventi si applica qui in forma rafforzata: nessuna conclusione che coinvolga persone viventi eccede il quesito formalmente dichiarato in scheda, e ogni asserzione reca la marcatura del piano proposizionale della fonte.</w:t>
      </w:r>
    </w:p>
    <w:p>
      <w:pPr>
        <w:spacing w:before="360" w:after="160" w:line="276" w:lineRule="auto"/>
        <w:ind w:firstLine="0"/>
        <w:jc w:val="left"/>
      </w:pPr>
      <w:r>
        <w:rPr>
          <w:rFonts w:ascii="Times New Roman" w:hAnsi="Times New Roman" w:cs="Times New Roman" w:eastAsia="Times New Roman"/>
          <w:b/>
          <w:i w:val="0"/>
          <w:sz w:val="26"/>
        </w:rPr>
        <w:t>PARTE TERZA — L'OSSATURA IN VOLUMI</w:t>
      </w:r>
    </w:p>
    <w:p>
      <w:pPr>
        <w:spacing w:before="0" w:after="120" w:line="276" w:lineRule="auto"/>
        <w:ind w:firstLine="425"/>
        <w:jc w:val="both"/>
      </w:pPr>
      <w:r>
        <w:rPr>
          <w:rFonts w:ascii="Times New Roman" w:hAnsi="Times New Roman" w:cs="Times New Roman" w:eastAsia="Times New Roman"/>
          <w:b w:val="0"/>
          <w:i w:val="0"/>
          <w:sz w:val="24"/>
        </w:rPr>
        <w:t>L'opera si articola in un Volume Zero e otto volumi, più l'apparato. Ogni volume è definito da cinque elementi che ne costituiscono l'intestazione obbligatoria: l'arco cronologico, il cerchio dominante, la domanda che il volume pone, il grado massimo raggiunto dalle sue asserzioni portanti, e il falsificatore che lo governa. Nessun volume può chiudersi senza che il proprio falsificatore sia stato affrontato esplicitamente e senza che sia dichiarato che cosa lo confermerebbe.</w:t>
      </w:r>
    </w:p>
    <w:p>
      <w:pPr>
        <w:spacing w:before="240" w:after="120" w:line="276" w:lineRule="auto"/>
        <w:ind w:firstLine="0"/>
        <w:jc w:val="left"/>
      </w:pPr>
      <w:r>
        <w:rPr>
          <w:rFonts w:ascii="Times New Roman" w:hAnsi="Times New Roman" w:cs="Times New Roman" w:eastAsia="Times New Roman"/>
          <w:b/>
          <w:i w:val="0"/>
          <w:sz w:val="24"/>
        </w:rPr>
        <w:t>Volume Zero — Le radici, o Storia Nera</w:t>
      </w:r>
    </w:p>
    <w:p>
      <w:pPr>
        <w:spacing w:before="0" w:after="120" w:line="276" w:lineRule="auto"/>
        <w:ind w:firstLine="425"/>
        <w:jc w:val="both"/>
      </w:pPr>
      <w:r>
        <w:rPr>
          <w:rFonts w:ascii="Times New Roman" w:hAnsi="Times New Roman" w:cs="Times New Roman" w:eastAsia="Times New Roman"/>
          <w:b w:val="0"/>
          <w:i w:val="0"/>
          <w:sz w:val="24"/>
        </w:rPr>
        <w:t>Arco: dalle origini al millenovecentoquarantatré. Cerchio dominante: Secondo e Terzo. Domanda: quali strutture di lungo periodo la vicenda repubblicana eredita, e quali invece inventa. Il volume esiste già nel corpus in sette parti — le radici patristiche, l'egemonia feudale, la frattura illuministica, la Gilded Age e la Grande Guerra, la diaspora nazista, Truman e il dopoguerra, la NATO e Gladio — e viene qui incorporato alla sua edizione corrente. La sua funzione architettonica è una sola e va enunciata senza attenuazioni: impedire che l'opera tratti come novità del millenovecentoquarantacinque ciò che era già in essere. Il falsificatore del volume è il rischio inverso, ossia la continuità postulata: ogni filiazione di lungo periodo qui asserita deve indicare il proprio anello mancante, e dove l'anello manca il volume dichiara la discontinuità anziché immaginarla colmata.</w:t>
      </w:r>
    </w:p>
    <w:p>
      <w:pPr>
        <w:spacing w:before="240" w:after="120" w:line="276" w:lineRule="auto"/>
        <w:ind w:firstLine="0"/>
        <w:jc w:val="left"/>
      </w:pPr>
      <w:r>
        <w:rPr>
          <w:rFonts w:ascii="Times New Roman" w:hAnsi="Times New Roman" w:cs="Times New Roman" w:eastAsia="Times New Roman"/>
          <w:b/>
          <w:i w:val="0"/>
          <w:sz w:val="24"/>
        </w:rPr>
        <w:t>Volume Primo — La fondazione</w:t>
      </w:r>
    </w:p>
    <w:p>
      <w:pPr>
        <w:spacing w:before="0" w:after="120" w:line="276" w:lineRule="auto"/>
        <w:ind w:firstLine="425"/>
        <w:jc w:val="both"/>
      </w:pPr>
      <w:r>
        <w:rPr>
          <w:rFonts w:ascii="Times New Roman" w:hAnsi="Times New Roman" w:cs="Times New Roman" w:eastAsia="Times New Roman"/>
          <w:b w:val="0"/>
          <w:i w:val="0"/>
          <w:sz w:val="24"/>
        </w:rPr>
        <w:t xml:space="preserve">Arco: millenovecentoquarantatré–millenovecentoquarantanove. Cerchio dominante: Zero e Terzo. Domanda: che cosa fu scambiato, alla fondazione della Repubblica, e con chi. Il volume tratta lo sbarco in Sicilia e la questione della collaborazione portuale, sulla quale il corpus ha già aggiudicato con verbale: il nucleo della collaborazione e della ricompensa è a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sulla base del rapporto Herlands e dei rapporti d'ufficio, mentre l'estensione siciliana della medesima vicenda è a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dichiarata filo di paglia, con falsificatore designato nella scuola revisionista. Tratta inoltre le vie di esfiltrazione cattoliche e la loro distinzione dai capitoli successivi; la trasmissione dei quadri dell'apparato tedesco al nuovo servizio federale; le elezioni del millenovecentoquarantotto e la National Intelligence Estimate; la costituzione del dispositivo stay-behind; il canale vaticano e la sua asimmetria. Il falsificatore del volume è l'ipotesi della normalità: che quanto accadde in Italia fra il millenovecentoquarantatré e il millenovecentoquarantanove sia ciò che accadde in ogni paese liberato, e che la specificità italiana sia effetto della documentazione e non del fatto.</w:t>
      </w:r>
    </w:p>
    <w:p>
      <w:pPr>
        <w:spacing w:before="240" w:after="120" w:line="276" w:lineRule="auto"/>
        <w:ind w:firstLine="0"/>
        <w:jc w:val="left"/>
      </w:pPr>
      <w:r>
        <w:rPr>
          <w:rFonts w:ascii="Times New Roman" w:hAnsi="Times New Roman" w:cs="Times New Roman" w:eastAsia="Times New Roman"/>
          <w:b/>
          <w:i w:val="0"/>
          <w:sz w:val="24"/>
        </w:rPr>
        <w:t>Volume Secondo — L'apparato</w:t>
      </w:r>
    </w:p>
    <w:p>
      <w:pPr>
        <w:spacing w:before="0" w:after="120" w:line="276" w:lineRule="auto"/>
        <w:ind w:firstLine="425"/>
        <w:jc w:val="both"/>
      </w:pPr>
      <w:r>
        <w:rPr>
          <w:rFonts w:ascii="Times New Roman" w:hAnsi="Times New Roman" w:cs="Times New Roman" w:eastAsia="Times New Roman"/>
          <w:b w:val="0"/>
          <w:i w:val="0"/>
          <w:sz w:val="24"/>
        </w:rPr>
        <w:t>Arco: millenovecentoquarantanove–millenovecentosessantotto. Cerchio dominante: Zero, Primo e Secondo. Domanda: come un apparato di sicurezza costruito contro un nemico esterno si trasforma in strumento di condizionamento interno. Il volume tratta il SIFAR e la schedatura, il Piano Solo, l'Ufficio Affari Riservati, la costituzione di Gladio e il centro di Capo Marrargiu, la fondazione di Jeune Europe nel millenovecentosessantadue e quella di Aginter Press nel settembre millenovecentosessantasei, la nascita di Ordine Nuovo e Avanguardia Nazionale, il colpo dei colonnelli greci del millenovecentosessantasette. È il volume della biforcazione: qui, e non altrove, l'opera deve mostrare che le due filiere nascono a quattro anni di distanza, sullo stesso continente, con dottrine incompatibili, e non si incontrano. Il falsificatore del volume è la tesi del disegno unico: se emergesse un documento che colleghi le due fondazioni a una regia comune, H2 cadrebbe e H1 ne uscirebbe rafforzata; la sua persistente assenza è, allo stato, il principale sostegno di H2.</w:t>
      </w:r>
    </w:p>
    <w:p>
      <w:pPr>
        <w:spacing w:before="240" w:after="120" w:line="276" w:lineRule="auto"/>
        <w:ind w:firstLine="0"/>
        <w:jc w:val="left"/>
      </w:pPr>
      <w:r>
        <w:rPr>
          <w:rFonts w:ascii="Times New Roman" w:hAnsi="Times New Roman" w:cs="Times New Roman" w:eastAsia="Times New Roman"/>
          <w:b/>
          <w:i w:val="0"/>
          <w:sz w:val="24"/>
        </w:rPr>
        <w:t>Volume Terzo — La tensione</w:t>
      </w:r>
    </w:p>
    <w:p>
      <w:pPr>
        <w:spacing w:before="0" w:after="120" w:line="276" w:lineRule="auto"/>
        <w:ind w:firstLine="425"/>
        <w:jc w:val="both"/>
      </w:pPr>
      <w:r>
        <w:rPr>
          <w:rFonts w:ascii="Times New Roman" w:hAnsi="Times New Roman" w:cs="Times New Roman" w:eastAsia="Times New Roman"/>
          <w:b w:val="0"/>
          <w:i w:val="0"/>
          <w:sz w:val="24"/>
        </w:rPr>
        <w:t>Arco: millenovecentosessantanove–millenovecentosettantaquattro. Cerchio dominante: Zero e Primo. Domanda: chi eseguì, chi coprì, e che cosa la copertura consente di inferire. Il volume tratta Piazza Fontana e la pista anarchica, con il marcatore di spoliazione apposto all'asserzione sul depistaggio nelle indagini e con l'inferenza limitata alla presunzione sfavorevole sul contenuto degli atti inquinati; Gioia Tauro, Peteano, la Questura di Milano, Piazza della Loggia, l'Italicus; il golpe Borghese e il contrordine; la Rosa dei Venti; e la Rivoluzione dei Garofani come cesura che disperde la rete lisbonense verso Spagna, Brasile, Rhodesia e Sudafrica. La regola dei tre piani governa l'intero volume: il piano dell'esecuzione è quello dove i gradi alti sono raggiungibili, il piano dell'apparato è quello dove la copertura è accertata, il piano del mandato è quello dove l'opera indaga e non afferma. Il falsificatore del volume è l'ipotesi dell'inefficienza: che le anomalie si spieghino con la disfunzione degli apparati anziché con il disegno, ipotesi che va affrontata caso per caso e che in più di un caso prevale.</w:t>
      </w:r>
    </w:p>
    <w:p>
      <w:pPr>
        <w:spacing w:before="240" w:after="120" w:line="276" w:lineRule="auto"/>
        <w:ind w:firstLine="0"/>
        <w:jc w:val="left"/>
      </w:pPr>
      <w:r>
        <w:rPr>
          <w:rFonts w:ascii="Times New Roman" w:hAnsi="Times New Roman" w:cs="Times New Roman" w:eastAsia="Times New Roman"/>
          <w:b/>
          <w:i w:val="0"/>
          <w:sz w:val="24"/>
        </w:rPr>
        <w:t>Volume Quarto — Il sequestro</w:t>
      </w:r>
    </w:p>
    <w:p>
      <w:pPr>
        <w:spacing w:before="0" w:after="120" w:line="276" w:lineRule="auto"/>
        <w:ind w:firstLine="425"/>
        <w:jc w:val="both"/>
      </w:pPr>
      <w:r>
        <w:rPr>
          <w:rFonts w:ascii="Times New Roman" w:hAnsi="Times New Roman" w:cs="Times New Roman" w:eastAsia="Times New Roman"/>
          <w:b w:val="0"/>
          <w:i w:val="0"/>
          <w:sz w:val="24"/>
        </w:rPr>
        <w:t>Arco: millenovecentosettantaquattro–millenovecentottanta. Cerchio dominante: Zero. Domanda: perché il caso più documentato della storia repubblicana resta il meno risolto. Il volume incorpora i Documenti Morotei già prodotti dall'opera — il Registro Analitico, il Registro Speculare, il Registro di Scavo, il Registro Genetico — con i loro nove cantieri da Alfa a Iota e con lo smistamento per censura che distingue i cantieri di sola lettura da quelli d'assedio. Tratta il segmento Hyperion, che la tavola registra come lacuna aperta e che reca l'emenda toponomastica pendente. Tratta la strage della stazione di Bologna e il golpe boliviano. Presenta le cinque ipotesi concorrenti nel loro stato attuale, senza aggiudicare e senza nascondere che la meno contraddetta è la prima. Il falsificatore del volume è l'ipotesi dell'autosufficienza, che il Registro mantiene permanentemente attiva con la funzione che nel Registro generale è assegnata a Milward: nessuna ipotesi ulteriore può essere accolta se non spiega ciò che questa già spiega, e meglio.</w:t>
      </w:r>
    </w:p>
    <w:p>
      <w:pPr>
        <w:spacing w:before="240" w:after="120" w:line="276" w:lineRule="auto"/>
        <w:ind w:firstLine="0"/>
        <w:jc w:val="left"/>
      </w:pPr>
      <w:r>
        <w:rPr>
          <w:rFonts w:ascii="Times New Roman" w:hAnsi="Times New Roman" w:cs="Times New Roman" w:eastAsia="Times New Roman"/>
          <w:b/>
          <w:i w:val="0"/>
          <w:sz w:val="24"/>
        </w:rPr>
        <w:t>Volume Quinto — La finanza occulta</w:t>
      </w:r>
    </w:p>
    <w:p>
      <w:pPr>
        <w:spacing w:before="0" w:after="120" w:line="276" w:lineRule="auto"/>
        <w:ind w:firstLine="425"/>
        <w:jc w:val="both"/>
      </w:pPr>
      <w:r>
        <w:rPr>
          <w:rFonts w:ascii="Times New Roman" w:hAnsi="Times New Roman" w:cs="Times New Roman" w:eastAsia="Times New Roman"/>
          <w:b w:val="0"/>
          <w:i w:val="0"/>
          <w:sz w:val="24"/>
        </w:rPr>
        <w:t xml:space="preserve">Arco: millenovecentottanta–millenovecentonovantadue. Cerchio dominante: Zero, Secondo e Quarto. Domanda: come il denaro attraversa i Domini, e che cosa accade a chi lo accompagna. Il volume tratta il rinvenimento di Castiglion Fibocchi e la lista dei novecentosessantadue, strutturata in due livelli, con i diciassette capigruppo la cui responsabilità posizionale è a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il Piano di Rinascita Democratica e la qualificazione anselmiana della loggia come organizzazione eversiva e criminale, non circolo lobbistico; l'inversione anselmiana, per cui i servizi non furono inquinati dalla loggia ma inquinanti; il polo Sindona-Calvi-IOR e la rotta Roma-Lugano-Nassau-Panama; gli omicidi Ambrosoli e Pecorelli; il ponte dei Frati Neri; il maxiprocesso, Falcone e Borsellino; le reti europee di aggiramento delle sanzioni contro il regime sudafricano; la rivelazione di Gladio dell'ottobre millenovecentonovanta. È qui che il primo Pattern trova la propria applicazione più netta: i nodi a più alta betweenness centrality — Sindona, Calvi — vengono eliminati, e l'ipotesi che ne discende, secondo cui gli intermediari fra i Domini sono bersagli prioritari perché conoscono troppo, è generata dai dati e non imposta su di essi. Il falsificatore del volume è l'ipotesi finanziaria pura: che i crolli si spieghino integralmente con l'insolvenza e le morti con dinamiche criminali ordinarie, senza residuo politico.</w:t>
      </w:r>
    </w:p>
    <w:p>
      <w:pPr>
        <w:spacing w:before="240" w:after="120" w:line="276" w:lineRule="auto"/>
        <w:ind w:firstLine="0"/>
        <w:jc w:val="left"/>
      </w:pPr>
      <w:r>
        <w:rPr>
          <w:rFonts w:ascii="Times New Roman" w:hAnsi="Times New Roman" w:cs="Times New Roman" w:eastAsia="Times New Roman"/>
          <w:b/>
          <w:i w:val="0"/>
          <w:sz w:val="24"/>
        </w:rPr>
        <w:t>Volume Sesto — La mutazione</w:t>
      </w:r>
    </w:p>
    <w:p>
      <w:pPr>
        <w:spacing w:before="0" w:after="120" w:line="276" w:lineRule="auto"/>
        <w:ind w:firstLine="425"/>
        <w:jc w:val="both"/>
      </w:pPr>
      <w:r>
        <w:rPr>
          <w:rFonts w:ascii="Times New Roman" w:hAnsi="Times New Roman" w:cs="Times New Roman" w:eastAsia="Times New Roman"/>
          <w:b w:val="0"/>
          <w:i w:val="0"/>
          <w:sz w:val="24"/>
        </w:rPr>
        <w:t>Arco: millenovecentonovantadue–duemilauno. Cerchio dominante: Zero, Secondo, Terzo. Domanda: che cosa sopravvive al crollo simultaneo dei due sistemi. Il volume tratta la dissoluzione del sistema dei partiti, le stragi del millenovecentonovantatré, l'apertura e la richiusura degli archivi russi, le guerre balcaniche, la proiezione europea della 'Ndrangheta e Gioia Tauro come porta della cocaina. Al suo centro sta la data che l'opera assume come cerniera dell'intera architettura: l'agosto millenovecentonovantadue, quando Thiriart si reca a Mosca, partecipa al tavolo rotondo presso la redazione di Den insieme ad Aleksandr Prochanov, a Egor Ligacev e a Gennadij Zjuganov, prende parte al tavolo presso l'Accademia dello Stato Maggiore dove è presente il tenente generale Nikolaj Klokotov, futuro collaboratore dei Fondamenti di Geopolitica, pubblica l'articolo Europa a Vladivostok, e muore tre mesi dopo. La compresenza di un ex collaborazionista belga, di militanti neofascisti italiani, di un ex membro del Politburo e del futuro leader del partito comunista russo attorno a un unico tavolo è, per il corpus, il documento più eloquente della convergenza rossobruna. Il falsificatore del volume è l'ipotesi della coincidenza: che quella missione sia stata episodio marginale privo di conseguenze, e che la filiazione successiva sia costruzione retrospettiva.</w:t>
      </w:r>
    </w:p>
    <w:p>
      <w:pPr>
        <w:spacing w:before="240" w:after="120" w:line="276" w:lineRule="auto"/>
        <w:ind w:firstLine="0"/>
        <w:jc w:val="left"/>
      </w:pPr>
      <w:r>
        <w:rPr>
          <w:rFonts w:ascii="Times New Roman" w:hAnsi="Times New Roman" w:cs="Times New Roman" w:eastAsia="Times New Roman"/>
          <w:b/>
          <w:i w:val="0"/>
          <w:sz w:val="24"/>
        </w:rPr>
        <w:t>Volume Settimo — La restaurazione eurasiatica</w:t>
      </w:r>
    </w:p>
    <w:p>
      <w:pPr>
        <w:spacing w:before="0" w:after="120" w:line="276" w:lineRule="auto"/>
        <w:ind w:firstLine="425"/>
        <w:jc w:val="both"/>
      </w:pPr>
      <w:r>
        <w:rPr>
          <w:rFonts w:ascii="Times New Roman" w:hAnsi="Times New Roman" w:cs="Times New Roman" w:eastAsia="Times New Roman"/>
          <w:b w:val="0"/>
          <w:i w:val="0"/>
          <w:sz w:val="24"/>
        </w:rPr>
        <w:t xml:space="preserve">Arco: duemilauno–duemilaventisei. Cerchio dominante: Quinto. Domanda: se ciò che accade oggi sia ripetizione, imitazione o continuazione. Il volume tratta la sistematizzazione duginiana e la sua diffusione editoriale, le reti bilaterali e i loro casi giudiziari, l'architettura finanziaria russa e il suo isomorfismo con il polo occulto degli anni Ottanta, la guerra informativa e le piattaforme, l'ascesa delle forze sovraniste in Europa. Il volume applica l'undicesimo Pattern con la disciplina che gli è propria: la somiglianza topologica fra due strutture può indicare origine comune, necessità funzionale o convergenza indipendente, e la sola somiglianza non discrimina fra le tre. L'opera propende, per il polo finanziario, per la necessità funzionale — ogni sistema che debba trasferire denaro occulto verso destinatari politici produce quella topologia — e classifica a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ogni lettura che ne inferisca origine comune. Il falsificatore del volume è precisamente questa alternativa funzionale, che è la spiegazione più economica e va battuta prima di ogni altra.</w:t>
      </w:r>
    </w:p>
    <w:p>
      <w:pPr>
        <w:spacing w:before="240" w:after="120" w:line="276" w:lineRule="auto"/>
        <w:ind w:firstLine="0"/>
        <w:jc w:val="left"/>
      </w:pPr>
      <w:r>
        <w:rPr>
          <w:rFonts w:ascii="Times New Roman" w:hAnsi="Times New Roman" w:cs="Times New Roman" w:eastAsia="Times New Roman"/>
          <w:b/>
          <w:i w:val="0"/>
          <w:sz w:val="24"/>
        </w:rPr>
        <w:t>Volume Ottavo — Mondo Nero</w:t>
      </w:r>
    </w:p>
    <w:p>
      <w:pPr>
        <w:spacing w:before="0" w:after="120" w:line="276" w:lineRule="auto"/>
        <w:ind w:firstLine="425"/>
        <w:jc w:val="both"/>
      </w:pPr>
      <w:r>
        <w:rPr>
          <w:rFonts w:ascii="Times New Roman" w:hAnsi="Times New Roman" w:cs="Times New Roman" w:eastAsia="Times New Roman"/>
          <w:b w:val="0"/>
          <w:i w:val="0"/>
          <w:sz w:val="24"/>
        </w:rPr>
        <w:t>Arco: trasversale. Cerchio dominante: Quarto. Domanda: che cosa le reti europee fanno quando operano fuori dall'Europa. Il volume incorpora la serie monografica già completata dall'opera sui rapporti fra il Sudafrica dell'apartheid e i suoi interlocutori, il triangolo con Le Cercle e Ordre et Tradition, la rete coperta europea di aggiramento delle sanzioni, il Piano Condor e la scuola francese, la diaspora nazista nelle sue destinazioni, le reti russe in America Latina. La sua funzione architettonica è di controprova: se i pattern identificati nel Cerchio Zero si ripresentano nei teatri periferici con attori diversi, essi sono strutturali; se non si ripresentano, essi sono italiani e vanno spiegati con cause italiane. Il falsificatore del volume è l'assenza di ricorrenza.</w:t>
      </w:r>
    </w:p>
    <w:p>
      <w:pPr>
        <w:spacing w:before="240" w:after="120" w:line="276" w:lineRule="auto"/>
        <w:ind w:firstLine="0"/>
        <w:jc w:val="left"/>
      </w:pPr>
      <w:r>
        <w:rPr>
          <w:rFonts w:ascii="Times New Roman" w:hAnsi="Times New Roman" w:cs="Times New Roman" w:eastAsia="Times New Roman"/>
          <w:b/>
          <w:i w:val="0"/>
          <w:sz w:val="24"/>
        </w:rPr>
        <w:t>Apparato</w:t>
      </w:r>
    </w:p>
    <w:p>
      <w:pPr>
        <w:spacing w:before="0" w:after="120" w:line="276" w:lineRule="auto"/>
        <w:ind w:firstLine="425"/>
        <w:jc w:val="both"/>
      </w:pPr>
      <w:r>
        <w:rPr>
          <w:rFonts w:ascii="Times New Roman" w:hAnsi="Times New Roman" w:cs="Times New Roman" w:eastAsia="Times New Roman"/>
          <w:b w:val="0"/>
          <w:i w:val="0"/>
          <w:sz w:val="24"/>
        </w:rPr>
        <w:t>L'apparato non è appendice ma metà dell'opera, ed è ciò che distingue questa architettura da una narrazione. Esso comprende il Registro Unico Federato nei suoi sei strati — fonti e provenienza, nodi secondo il modello factoid, asserzioni e archi secondo il modello della nanopubblicazione, diagnostica computazionale validata, contaminazione della fonte elevata a Camera Istruttoria, narrazione — con la spina a quattro dispositivi; il Repertorio delle fonti archivistiche, giudiziarie e bibliografiche; la Nota Metodologica con le sue monografie; la Metodologia Normaviva nelle sue tre lettere; la matrice dell'Indice di Contaminazione della Fonte con la clausola di ammissibilità; il Registro degli Esiti Negativi; e la tavola delle lacune. Fra narrazione e apparato vige un rapporto di dipendenza a senso unico: la narrazione cita l'apparato, l'apparato non cita la narrazione. È l'applicazione del principio secondo cui i prodotti dell'opera non sono fonti dell'opera, e la sua violazione è il modo più rapido con cui un corpus di questa mole può diventare autoreferenziale.</w:t>
      </w:r>
    </w:p>
    <w:p>
      <w:pPr>
        <w:spacing w:before="360" w:after="160" w:line="276" w:lineRule="auto"/>
        <w:ind w:firstLine="0"/>
        <w:jc w:val="left"/>
      </w:pPr>
      <w:r>
        <w:rPr>
          <w:rFonts w:ascii="Times New Roman" w:hAnsi="Times New Roman" w:cs="Times New Roman" w:eastAsia="Times New Roman"/>
          <w:b/>
          <w:i w:val="0"/>
          <w:sz w:val="26"/>
        </w:rPr>
        <w:t>PARTE QUARTA — GLI ARCHI INCROCIATI</w:t>
      </w:r>
    </w:p>
    <w:p>
      <w:pPr>
        <w:spacing w:before="0" w:after="120" w:line="276" w:lineRule="auto"/>
        <w:ind w:firstLine="425"/>
        <w:jc w:val="both"/>
      </w:pPr>
      <w:r>
        <w:rPr>
          <w:rFonts w:ascii="Times New Roman" w:hAnsi="Times New Roman" w:cs="Times New Roman" w:eastAsia="Times New Roman"/>
          <w:b w:val="0"/>
          <w:i w:val="0"/>
          <w:sz w:val="24"/>
        </w:rPr>
        <w:t>Gli archi che seguono sono il prodotto dell'incrocio delle dodici famiglie del lessico attraverso il perimetro documentale, e sono qui riportati con il grado che la Camera Istruttoria ha assegnato o che risulta assegnabile allo stato. Essi non esauriscono la rete: la esemplificano nella sua tipologia, secondo i cinque tipi di arco inter-dominio che la Nota Metodologica definisce.</w:t>
      </w:r>
    </w:p>
    <w:p>
      <w:pPr>
        <w:spacing w:before="0" w:after="120" w:line="276" w:lineRule="auto"/>
        <w:ind w:firstLine="425"/>
        <w:jc w:val="both"/>
      </w:pPr>
      <w:r>
        <w:rPr>
          <w:rFonts w:ascii="Times New Roman" w:hAnsi="Times New Roman" w:cs="Times New Roman" w:eastAsia="Times New Roman"/>
          <w:b w:val="0"/>
          <w:i w:val="0"/>
          <w:sz w:val="24"/>
        </w:rPr>
        <w:t xml:space="preserve">Sul tipo dell'infiltrazione, l'arco che collega il Dominio massonico ai Domini dell'intelligence, delle forze armate, della politica, della magistratura, dell'economia e dei media attraverso la lista dei novecentosessantadue è a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 xml:space="preserve"> quanto all'esistenza delle iscrizioni e alla responsabilità posizionale dei diciassette capigruppo, e non si estende al contenuto dei singoli atti compiuti dagli iscritti. Sul medesimo tipo, l'arco che collega la struttura privata di Lisbona all'area eversiva italiana attraverso l'addestramento romano del millenovecentosessantasette e millenovecentosessantotto è a </w:t>
      </w:r>
      <w:r>
        <w:rPr>
          <w:rFonts w:ascii="Times New Roman" w:hAnsi="Times New Roman" w:cs="Times New Roman" w:eastAsia="Times New Roman"/>
          <w:b/>
          <w:i w:val="0"/>
          <w:sz w:val="24"/>
        </w:rPr>
        <w:t>Livello A</w:t>
      </w:r>
      <w:r>
        <w:rPr>
          <w:rFonts w:ascii="Times New Roman" w:hAnsi="Times New Roman" w:cs="Times New Roman" w:eastAsia="Times New Roman"/>
          <w:b w:val="0"/>
          <w:i w:val="0"/>
          <w:sz w:val="24"/>
        </w:rPr>
        <w:t>.</w:t>
      </w:r>
    </w:p>
    <w:p>
      <w:pPr>
        <w:spacing w:before="0" w:after="120" w:line="276" w:lineRule="auto"/>
        <w:ind w:firstLine="425"/>
        <w:jc w:val="both"/>
      </w:pPr>
      <w:r>
        <w:rPr>
          <w:rFonts w:ascii="Times New Roman" w:hAnsi="Times New Roman" w:cs="Times New Roman" w:eastAsia="Times New Roman"/>
          <w:b w:val="0"/>
          <w:i w:val="0"/>
          <w:sz w:val="24"/>
        </w:rPr>
        <w:t xml:space="preserve">Sul tipo del transito, la rotta che porta i proventi del narcotraffico dal Dominio criminale al sistema bancario, da questo all'istituto vaticano e da questo ai circuiti offshore è documentata nei suoi segmenti con gradi differenziati: il segmento Sindona–Cosa Nostra e il segmento Calvi–IOR sono sostenuti dalla Relazione Anselmi e dagli atti della Commissione Stragi; il segmento che collegherebbe il terminale offshore al finanziamento di operazioni di intelligence resta a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e la Struttura ne dichiara la condizione di elevazione: l'emersione di un ordine di pagamento nominativo. La rotta contemporanea che va dalla banca russa collassata alle società intermedie presenta la medesima topologia, e la Struttura la registra come isomorfismo funzionale a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quanto all'origine comune.</w:t>
      </w:r>
    </w:p>
    <w:p>
      <w:pPr>
        <w:spacing w:before="0" w:after="120" w:line="276" w:lineRule="auto"/>
        <w:ind w:firstLine="425"/>
        <w:jc w:val="both"/>
      </w:pPr>
      <w:r>
        <w:rPr>
          <w:rFonts w:ascii="Times New Roman" w:hAnsi="Times New Roman" w:cs="Times New Roman" w:eastAsia="Times New Roman"/>
          <w:b w:val="0"/>
          <w:i w:val="0"/>
          <w:sz w:val="24"/>
        </w:rPr>
        <w:t>Sul tipo della collusione, gli archi che collegano il Dominio politico al Dominio criminale attraverso le mediazioni siciliane sono i più densi dell'intera rete e i meglio istruiti in sede giudiziaria; la Struttura rinvia integralmente agli accertamenti definitivi e vieta ogni riformulazione che li ecceda. Sul tipo della strumentalizzazione, l'arco che collega il Dominio dell'intelligence al Dominio del terrorismo è quello su cui la Struttura impone la massima cautela, perché è il punto in cui il divieto inferenziale dal depistaggio al mandato viene violato con maggiore frequenza dalla letteratura: la copertura accertata autorizza la presunzione sfavorevole sul contenuto di ciò che fu soppresso, e nient'altro.</w:t>
      </w:r>
    </w:p>
    <w:p>
      <w:pPr>
        <w:spacing w:before="0" w:after="120" w:line="276" w:lineRule="auto"/>
        <w:ind w:firstLine="425"/>
        <w:jc w:val="both"/>
      </w:pPr>
      <w:r>
        <w:rPr>
          <w:rFonts w:ascii="Times New Roman" w:hAnsi="Times New Roman" w:cs="Times New Roman" w:eastAsia="Times New Roman"/>
          <w:b w:val="0"/>
          <w:i w:val="0"/>
          <w:sz w:val="24"/>
        </w:rPr>
        <w:t>Sul tipo della convergenza, la Struttura registra l'avvertenza metodologica più severa. L'arco di convergenza non presuppone contatto diretto fra gli attori, e per questa ragione è compatibile con quasi ogni evidenza; un'ipotesi compatibile con quasi ogni evidenza è per ciò stesso epistemologicamente debole, non forte. La macro-ipotesi H1, nella sua formulazione più difendibile, è un arco di convergenza su scala continentale; e la sua difendibilità è anche la sua fragilità. La Struttura la mantiene attiva, ne dichiara il grado, e ricorda che l'ipotesi che prevale non è quella con più evidenze a favore ma quella meno contraddetta.</w:t>
      </w:r>
    </w:p>
    <w:p>
      <w:pPr>
        <w:spacing w:before="0" w:after="120" w:line="276" w:lineRule="auto"/>
        <w:ind w:firstLine="425"/>
        <w:jc w:val="both"/>
      </w:pPr>
      <w:r>
        <w:rPr>
          <w:rFonts w:ascii="Times New Roman" w:hAnsi="Times New Roman" w:cs="Times New Roman" w:eastAsia="Times New Roman"/>
          <w:b w:val="0"/>
          <w:i w:val="0"/>
          <w:sz w:val="24"/>
        </w:rPr>
        <w:t>Sul tipo dell'isomorfismo, che non è un arco ma una relazione fra strutture, la rete stay-behind atlantica e le sue strutture sorelle europee, la loggia coperta italiana e le sue omologhe estere, la confederazione orizzontale calabrese e i cartelli messicani presentano ricorrenze topologiche accertate. La Struttura le registra e ne vieta l'uso inferenziale automatico: la ricorrenza di una forma indica che la forma è efficiente per il compito, e soltanto documenti fondativi possono elevarla a origine comune.</w:t>
      </w:r>
    </w:p>
    <w:p>
      <w:pPr>
        <w:spacing w:before="360" w:after="160" w:line="276" w:lineRule="auto"/>
        <w:ind w:firstLine="0"/>
        <w:jc w:val="left"/>
      </w:pPr>
      <w:r>
        <w:rPr>
          <w:rFonts w:ascii="Times New Roman" w:hAnsi="Times New Roman" w:cs="Times New Roman" w:eastAsia="Times New Roman"/>
          <w:b/>
          <w:i w:val="0"/>
          <w:sz w:val="26"/>
        </w:rPr>
        <w:t>PARTE QUINTA — LA MATRICE DELLE IPOTESI CONCORRENTI</w:t>
      </w:r>
    </w:p>
    <w:p>
      <w:pPr>
        <w:spacing w:before="0" w:after="120" w:line="276" w:lineRule="auto"/>
        <w:ind w:firstLine="425"/>
        <w:jc w:val="both"/>
      </w:pPr>
      <w:r>
        <w:rPr>
          <w:rFonts w:ascii="Times New Roman" w:hAnsi="Times New Roman" w:cs="Times New Roman" w:eastAsia="Times New Roman"/>
          <w:b w:val="0"/>
          <w:i w:val="0"/>
          <w:sz w:val="24"/>
        </w:rPr>
        <w:t>La Struttura iscrive cinque macro-ipotesi in competizione permanente sulla questione che la gerarchia dell'autore pone al centro. Per ciascuna sono dichiarati il grado attuale, la condizione di falsificazione e la condizione di elevazione.</w:t>
      </w:r>
    </w:p>
    <w:p>
      <w:pPr>
        <w:spacing w:before="0" w:after="120" w:line="276" w:lineRule="auto"/>
        <w:ind w:firstLine="425"/>
        <w:jc w:val="both"/>
      </w:pPr>
      <w:r>
        <w:rPr>
          <w:rFonts w:ascii="Times New Roman" w:hAnsi="Times New Roman" w:cs="Times New Roman" w:eastAsia="Times New Roman"/>
          <w:b w:val="0"/>
          <w:i w:val="0"/>
          <w:sz w:val="24"/>
        </w:rPr>
        <w:t xml:space="preserve">H1, del concerto imperiale: le due superpotenze, pur nemiche, agirono di concerto per impedire l'integrazione europea. Grado: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Conteggio di indipendenza: non raggiunge la soglia dei tre canali per alcuna formulazione forte. Condizione di elevazione: l'emersione di un documento speculare che attesti coordinamento diretto e non emergente. Condizione di falsificazione: la dimostrazione che le due potenze perseguirono nei confronti del processo europeo politiche di segno opposto e che gli effetti convergenti sono artefatto della selezione dei casi.</w:t>
      </w:r>
    </w:p>
    <w:p>
      <w:pPr>
        <w:spacing w:before="0" w:after="120" w:line="276" w:lineRule="auto"/>
        <w:ind w:firstLine="425"/>
        <w:jc w:val="both"/>
      </w:pPr>
      <w:r>
        <w:rPr>
          <w:rFonts w:ascii="Times New Roman" w:hAnsi="Times New Roman" w:cs="Times New Roman" w:eastAsia="Times New Roman"/>
          <w:b w:val="0"/>
          <w:i w:val="0"/>
          <w:sz w:val="24"/>
        </w:rPr>
        <w:t xml:space="preserve">H2, dei due progetti europei rivali: gli attori primari furono europei, e sul terreno si fronteggiarono due progetti di unificazione autoritaria, l'uno atlantista-controinsurrezionale e l'altro antiatlantista-eurasiatista, entrambi ostili all'unificazione democratico-costituzionale, ciascuno alla ricerca di uno sponsor imperiale. Grado: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con quattro successi esplicativi documentati che H1 non consegue. Condizione di elevazione: la documentazione di un raccordo organizzativo interno a ciascuna delle due filiere che ne attesti il carattere progettuale e non meramente ideologico. Condizione di falsificazione: la prova di contatti operativi sistematici fra le due filiere, che le ridurrebbe a una sola e restituirebbe il primato ad H1.</w:t>
      </w:r>
    </w:p>
    <w:p>
      <w:pPr>
        <w:spacing w:before="0" w:after="120" w:line="276" w:lineRule="auto"/>
        <w:ind w:firstLine="425"/>
        <w:jc w:val="both"/>
      </w:pPr>
      <w:r>
        <w:rPr>
          <w:rFonts w:ascii="Times New Roman" w:hAnsi="Times New Roman" w:cs="Times New Roman" w:eastAsia="Times New Roman"/>
          <w:b w:val="0"/>
          <w:i w:val="0"/>
          <w:sz w:val="24"/>
        </w:rPr>
        <w:t xml:space="preserve">H3, della convergenza emergente: le due potenze agirono per fini opposti producendo una convergenza non concertata. Grado: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con l'avvertenza che questa ipotesi è compatibile con quasi ogni evidenza e va perciò maneggiata con particolare diffidenza. Condizione di falsificazione: la dimostrazione che gli effetti non convergevano, oppure la dimostrazione che vi fu coordinamento, nel qual caso l'ipotesi collassa in H1.</w:t>
      </w:r>
    </w:p>
    <w:p>
      <w:pPr>
        <w:spacing w:before="0" w:after="120" w:line="276" w:lineRule="auto"/>
        <w:ind w:firstLine="425"/>
        <w:jc w:val="both"/>
      </w:pPr>
      <w:r>
        <w:rPr>
          <w:rFonts w:ascii="Times New Roman" w:hAnsi="Times New Roman" w:cs="Times New Roman" w:eastAsia="Times New Roman"/>
          <w:b w:val="0"/>
          <w:i w:val="0"/>
          <w:sz w:val="24"/>
        </w:rPr>
        <w:t xml:space="preserve">H4, del primato endogeno: il processo di integrazione fu ostacolato in misura preponderante da fattori interni agli Stati europei, e le vicende italiane si spiegano integralmente con le dinamiche del sistema politico nazionale. Grado: </w:t>
      </w:r>
      <w:r>
        <w:rPr>
          <w:rFonts w:ascii="Times New Roman" w:hAnsi="Times New Roman" w:cs="Times New Roman" w:eastAsia="Times New Roman"/>
          <w:b/>
          <w:i w:val="0"/>
          <w:sz w:val="24"/>
        </w:rPr>
        <w:t>Livello B</w:t>
      </w:r>
      <w:r>
        <w:rPr>
          <w:rFonts w:ascii="Times New Roman" w:hAnsi="Times New Roman" w:cs="Times New Roman" w:eastAsia="Times New Roman"/>
          <w:b w:val="0"/>
          <w:i w:val="0"/>
          <w:sz w:val="24"/>
        </w:rPr>
        <w:t xml:space="preserve"> quanto alla sufficienza della spiegazione interna nei casi in cui è stata testata, segnatamente il caso Moro. Condizione di falsificazione: la documentazione di pressioni esterne determinanti sulle decisioni.</w:t>
      </w:r>
    </w:p>
    <w:p>
      <w:pPr>
        <w:spacing w:before="0" w:after="120" w:line="276" w:lineRule="auto"/>
        <w:ind w:firstLine="425"/>
        <w:jc w:val="both"/>
      </w:pPr>
      <w:r>
        <w:rPr>
          <w:rFonts w:ascii="Times New Roman" w:hAnsi="Times New Roman" w:cs="Times New Roman" w:eastAsia="Times New Roman"/>
          <w:b w:val="0"/>
          <w:i w:val="0"/>
          <w:sz w:val="24"/>
        </w:rPr>
        <w:t>H5, dell'inversione milwardiana: l'integrazione europea non fu ostacolata dalle sovranità nazionali ma da esse voluta come strumento della propria salvezza, e il rapporto fra integrazione e sovranità ha segno opposto a quello che H1 presuppone. Questa non è propriamente un'ipotesi concorrente ma il falsificatore designato dell'intera architettura, mantenuto permanentemente attivo. Nessun volume dell'opera può chiudersi senza averlo affrontato.</w:t>
      </w:r>
    </w:p>
    <w:p>
      <w:pPr>
        <w:spacing w:before="360" w:after="160" w:line="276" w:lineRule="auto"/>
        <w:ind w:firstLine="0"/>
        <w:jc w:val="left"/>
      </w:pPr>
      <w:r>
        <w:rPr>
          <w:rFonts w:ascii="Times New Roman" w:hAnsi="Times New Roman" w:cs="Times New Roman" w:eastAsia="Times New Roman"/>
          <w:b/>
          <w:i w:val="0"/>
          <w:sz w:val="26"/>
        </w:rPr>
        <w:t>PARTE SESTA — TAVOLA DELLE LACUNE E PROGRAMMA</w:t>
      </w:r>
    </w:p>
    <w:p>
      <w:pPr>
        <w:spacing w:before="0" w:after="120" w:line="276" w:lineRule="auto"/>
        <w:ind w:firstLine="425"/>
        <w:jc w:val="both"/>
      </w:pPr>
      <w:r>
        <w:rPr>
          <w:rFonts w:ascii="Times New Roman" w:hAnsi="Times New Roman" w:cs="Times New Roman" w:eastAsia="Times New Roman"/>
          <w:b w:val="0"/>
          <w:i w:val="0"/>
          <w:sz w:val="24"/>
        </w:rPr>
        <w:t>La tavola è riportata nello stato in cui la sessione del due agosto duemilaventisei l'ha consolidata, con l'aggiunta delle voci che la presente Struttura genera. Restano aperte: il censimento per singola voce dei cinque blocchi documentali da FO-zerodueunocinque a FO-zerodueunonove; la chiusura del segmento Hyperion e Aginter Press, quinta lacuna, con l'emenda toponomastica che sostituisce l'indirizzo romano erroneamente circolante e che risulta ancora non recepita nel corpo del Registro Integrale; l'identificazione del documento speculare statunitense sulle operazioni coperte in Italia; la scheda sul canale che collega la procura palermitana agli interlocutori moscoviti; le verifiche archivistiche genealogiche presso lo stato civile pistoiese e presso quello spezzino, condotte sotto disciplina sui viventi e limitate al quesito formalmente dichiarato; l'integrazione della serie sudafricana nel Registro generale; il recupero integrale dell'ordinanza-sentenza Salvini nelle sue parti quinta e sesta, della relazione del ROS del ventisei luglio millenovecentonovantasei e della perizia Giannuli; la verifica sull'originale delle citazioni religiose attribuite a Guérin-Sérac, con la formula del soldato di Cristo Re da confermare o abbandonare; la richiesta ai fondi PIDE e DGS dell'archivio nazionale portoghese per il dossier Guillou; l'adozione del modello nullo a massima entropia per la prossima passata diagnostica.</w:t>
      </w:r>
    </w:p>
    <w:p>
      <w:pPr>
        <w:spacing w:before="0" w:after="120" w:line="276" w:lineRule="auto"/>
        <w:ind w:firstLine="425"/>
        <w:jc w:val="both"/>
      </w:pPr>
      <w:r>
        <w:rPr>
          <w:rFonts w:ascii="Times New Roman" w:hAnsi="Times New Roman" w:cs="Times New Roman" w:eastAsia="Times New Roman"/>
          <w:b w:val="0"/>
          <w:i w:val="0"/>
          <w:sz w:val="24"/>
        </w:rPr>
        <w:t>La presente Struttura genera tre voci nuove. La prima è la redazione del volume mancante della filiera atlantista-controinsurrezionale, che deve tracciare il percorso da Lisbona al dispositivo stay-behind e da questo al presente, e che costituisce il terzo termine di un'architettura di cui l'opera possiede già gli altri due, ossia l'analisi della filiera antiatlantista e la ricostruzione della penetrazione eurasianista. La seconda è la produzione della famiglia dodicesima del lessico, ossia l'esecuzione del quindicesimo Pattern sul corpus autografo. La terza è il test di controprova prescritto dal Volume Ottavo: verificare, per ciascun pattern identificato nel Cerchio Zero, se esso ricorra nei teatri periferici, e dichiarare se l'eventuale assenza sia assenza del fatto o assenza della documentazione.</w:t>
      </w:r>
    </w:p>
    <w:p>
      <w:pPr>
        <w:spacing w:before="360" w:after="160" w:line="276" w:lineRule="auto"/>
        <w:ind w:firstLine="0"/>
        <w:jc w:val="left"/>
      </w:pPr>
      <w:r>
        <w:rPr>
          <w:rFonts w:ascii="Times New Roman" w:hAnsi="Times New Roman" w:cs="Times New Roman" w:eastAsia="Times New Roman"/>
          <w:b/>
          <w:i w:val="0"/>
          <w:sz w:val="26"/>
        </w:rPr>
        <w:t>COLOPHON</w:t>
      </w:r>
    </w:p>
    <w:p>
      <w:pPr>
        <w:spacing w:before="0" w:after="120" w:line="276" w:lineRule="auto"/>
        <w:ind w:firstLine="425"/>
        <w:jc w:val="both"/>
      </w:pPr>
      <w:r>
        <w:rPr>
          <w:rFonts w:ascii="Times New Roman" w:hAnsi="Times New Roman" w:cs="Times New Roman" w:eastAsia="Times New Roman"/>
          <w:b w:val="0"/>
          <w:i w:val="0"/>
          <w:sz w:val="24"/>
        </w:rPr>
        <w:t xml:space="preserve">ITALIA NERA, Registro Analitico delle Reti Informali Transnazionali. Struttura dell'Opera, edizione sessantasettesima, prodotta il cinque agosto duemilaventisei in esecuzione del mandato d'autore, secondo il Protocollo Zero-Token e nello standard tipografico dell'opera: carattere Times New Roman di corpo dodici, formato A4, giustificazione integrale, rientro di prima riga, interlinea di uno virgola quindici, prosa continua, numeri in lettere, nessuna tabella. La Struttura chiude la lacuna della Struttura dell'Opera dichiarata aperta nella sessione del due agosto e si costituisce quale Strato Sesto del Registro Unico Federato, custode dell'ordo expositionis. Essa riceve la gerarchia in dieci punti quale scheletro narrativo, conferma la macro-ipotesi H1 a </w:t>
      </w:r>
      <w:r>
        <w:rPr>
          <w:rFonts w:ascii="Times New Roman" w:hAnsi="Times New Roman" w:cs="Times New Roman" w:eastAsia="Times New Roman"/>
          <w:b/>
          <w:i w:val="0"/>
          <w:sz w:val="24"/>
        </w:rPr>
        <w:t>Livello C</w:t>
      </w:r>
      <w:r>
        <w:rPr>
          <w:rFonts w:ascii="Times New Roman" w:hAnsi="Times New Roman" w:cs="Times New Roman" w:eastAsia="Times New Roman"/>
          <w:b w:val="0"/>
          <w:i w:val="0"/>
          <w:sz w:val="24"/>
        </w:rPr>
        <w:t xml:space="preserve"> con i falsificatori attivi e Alan Milward permanentemente designato, iscrive formalmente la macro-ipotesi H2 dei due progetti europei rivali al medesimo grado e con quattro successi esplicativi dichiarati, organizza il lessico in dodici famiglie con la regola dell'incrocio a tre soglie, articola sei cerchi concentrici sotto la legge secondo cui nessun cerchio si allarga per somiglianza, e distribuisce la materia in un Volume Zero e otto volumi, ciascuno con il proprio falsificatore obbligatorio. Resta sovrana la Regola di Ferro: dove la fonte documenta, l'opera certifica; dove la fonte tace, l'opera indaga e non afferma. Fluido il metodo, ferreo lo standard.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