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before="0"/>
        <w:jc w:val="center"/>
      </w:pPr>
      <w:r>
        <w:rPr>
          <w:rFonts w:ascii="Times New Roman" w:hAnsi="Times New Roman" w:cs="Times New Roman" w:eastAsia="Times New Roman"/>
          <w:b/>
          <w:sz w:val="32"/>
        </w:rPr>
        <w:t>ITALIA NERA</w:t>
      </w:r>
    </w:p>
    <w:p>
      <w:pPr>
        <w:spacing w:after="80" w:line="276" w:lineRule="auto" w:before="80"/>
        <w:jc w:val="center"/>
      </w:pPr>
      <w:r>
        <w:rPr>
          <w:rFonts w:ascii="Times New Roman" w:hAnsi="Times New Roman" w:cs="Times New Roman" w:eastAsia="Times New Roman"/>
          <w:b w:val="0"/>
          <w:sz w:val="24"/>
        </w:rPr>
        <w:t>Registro Analitico delle Reti Informali Transnazionali</w:t>
      </w:r>
    </w:p>
    <w:p>
      <w:pPr>
        <w:spacing w:after="120" w:line="276" w:lineRule="auto" w:before="200"/>
        <w:jc w:val="center"/>
      </w:pPr>
      <w:r>
        <w:rPr>
          <w:rFonts w:ascii="Times New Roman" w:hAnsi="Times New Roman" w:cs="Times New Roman" w:eastAsia="Times New Roman"/>
          <w:b/>
          <w:sz w:val="26"/>
        </w:rPr>
        <w:t>REGISTRO UNICO FEDERATO</w:t>
      </w:r>
    </w:p>
    <w:p>
      <w:pPr>
        <w:spacing w:after="80" w:line="276" w:lineRule="auto" w:before="80"/>
        <w:jc w:val="center"/>
      </w:pPr>
      <w:r>
        <w:rPr>
          <w:rFonts w:ascii="Times New Roman" w:hAnsi="Times New Roman" w:cs="Times New Roman" w:eastAsia="Times New Roman"/>
          <w:b w:val="0"/>
          <w:sz w:val="24"/>
        </w:rPr>
        <w:t>Edizione terza, versione sessantaseiesima dell'opera</w:t>
      </w:r>
    </w:p>
    <w:p>
      <w:pPr>
        <w:spacing w:after="80" w:line="276" w:lineRule="auto" w:before="80"/>
        <w:jc w:val="center"/>
      </w:pPr>
      <w:r>
        <w:rPr>
          <w:rFonts w:ascii="Times New Roman" w:hAnsi="Times New Roman" w:cs="Times New Roman" w:eastAsia="Times New Roman"/>
          <w:b w:val="0"/>
          <w:sz w:val="24"/>
        </w:rPr>
        <w:t>Somma federata di tutti i registri del perimetro di progetto, della memoria operativa e delle sessioni del ventisette luglio, del ventotto luglio e del primo agosto, con ricezione della spina del Dossier Moro, censimento integrale del perimetro documentale al due agosto e statuto dell'ordo expositionis</w:t>
      </w:r>
    </w:p>
    <w:p>
      <w:pPr>
        <w:spacing w:after="80" w:line="276" w:lineRule="auto" w:before="80"/>
        <w:jc w:val="center"/>
      </w:pPr>
      <w:r>
        <w:rPr>
          <w:rFonts w:ascii="Times New Roman" w:hAnsi="Times New Roman" w:cs="Times New Roman" w:eastAsia="Times New Roman"/>
          <w:b w:val="0"/>
          <w:sz w:val="24"/>
        </w:rPr>
        <w:t>Luigi De Michele</w:t>
      </w:r>
    </w:p>
    <w:p>
      <w:pPr>
        <w:spacing w:after="80" w:line="276" w:lineRule="auto" w:before="80"/>
        <w:jc w:val="center"/>
      </w:pPr>
      <w:r>
        <w:rPr>
          <w:rFonts w:ascii="Times New Roman" w:hAnsi="Times New Roman" w:cs="Times New Roman" w:eastAsia="Times New Roman"/>
          <w:b w:val="0"/>
          <w:sz w:val="24"/>
        </w:rPr>
        <w:t>Due agosto duemilaventisei</w:t>
      </w:r>
    </w:p>
    <w:p>
      <w:pPr>
        <w:spacing w:after="120" w:line="276" w:lineRule="auto" w:before="320"/>
        <w:jc w:val="both"/>
      </w:pPr>
      <w:r>
        <w:rPr>
          <w:rFonts w:ascii="Times New Roman" w:hAnsi="Times New Roman" w:cs="Times New Roman" w:eastAsia="Times New Roman"/>
          <w:b/>
          <w:sz w:val="24"/>
        </w:rPr>
        <w:t>Premessa architetturale</w:t>
      </w:r>
    </w:p>
    <w:p>
      <w:pPr>
        <w:spacing w:after="0" w:line="276" w:lineRule="auto"/>
        <w:ind w:firstLine="425"/>
        <w:jc w:val="both"/>
      </w:pPr>
      <w:r>
        <w:rPr>
          <w:rFonts w:ascii="Times New Roman" w:hAnsi="Times New Roman" w:cs="Times New Roman" w:eastAsia="Times New Roman"/>
          <w:b w:val="0"/>
          <w:sz w:val="24"/>
        </w:rPr>
        <w:t>La presente edizione è la sessantaseiesima dell'opera ITALIA NERA e la terza del Registro Unico Federato. Essa è prodotta in esecuzione di un mandato dell'autore trasmesso in sessione il due agosto duemilaventisei, che ritrasmette integralmente la Nota Metodologica dell'opera, consegna un ordine espositivo in dieci punti gerarchici e prescrive che la versione sessantaseiesima sia la somma di tutti i registri presenti nelle conoscenze del progetto, della memoria operativa e di tutte le sessioni avviate nelle ultime giornate. Il mandato si esegue nella forma costituzionale che l'opera si è data con i Prompt Evoluti V64 e V65 e con le due edizioni precedenti del Registro Unico Federato: la federazione per riferimento, in forza della quale ogni edizione del Registro Unico Federato è, per definizione costituzionale, la somma degli strati alla loro edizione corrente più la spina e i dispositivi aggiornati, con gli strati preservati verbatim nelle rispettive sedi documentali e collegati dagli identificativi stabili. La somma richiesta dall'autore non si realizza dunque per concatenazione fisica dei corpi documentali, forma che la decisione strutturale del Registro Titanico ha formalmente superato sostituendo alla stratificazione verbatim la baseline consolidata e deduplicata con conservazione archeologica delle versioni pregresse, ma per atto federativo certificato: la presente edizione verifica il perimetro, censisce ogni registro alla sua edizione corrente, riceve la spina prodotta dopo la chiusura della versione sessantacinquesima, riconcilia la memoria operativa e consolida la tavola delle lacune. Ciò che entra nella federazione è enumerato, pesato e datato; ciò che non è ancora censito è dichiarato in tavola con programma di censimento; nulla è riscritto, abbreviato o parafrasato.</w:t>
      </w:r>
    </w:p>
    <w:p>
      <w:pPr>
        <w:spacing w:after="0" w:line="276" w:lineRule="auto"/>
        <w:ind w:firstLine="425"/>
        <w:jc w:val="both"/>
      </w:pPr>
      <w:r>
        <w:rPr>
          <w:rFonts w:ascii="Times New Roman" w:hAnsi="Times New Roman" w:cs="Times New Roman" w:eastAsia="Times New Roman"/>
          <w:b w:val="0"/>
          <w:sz w:val="24"/>
        </w:rPr>
        <w:t xml:space="preserve">L'ordine espositivo in dieci punti consegnato dall'autore — l'Italia e l'Europa come centro della narrazione, le due superpotenze come antagonisti dell'integrazione europea, la genesi nel dopoguerra e nella Guerra Fredda, gli strumenti della destabilizzazione, i servizi deviati, la collaborazione trasversale dei domini, l'obiettivo dell'impedimento dell'unità continentale, il ricorso al terrorismo e agli omicidi eccellenti, il favore prestato alle ascese populiste — è ricevuto e iscritto nello statuto dell'ordo expositionis, alla Sezione Quarta della presente edizione, quale scheletro narrativo dell'opera letteraria per cerchi concentrici. Resta ferma, perché codificata dalla versione sessantesima e mai revocata, la distinzione tra ordo expositionis e ordo probandi: la struttura concentrica governa l'esposizione, la catena documentale dal basso governa la prova. La macro-ipotesi della convergenza antagonista tra Stati Uniti e Unione Sovietica, poi Federazione Russa, contro l'integrazione europea conserva pertanto lo statuto di ipotesi H1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falsificabile, in competizione con le ipotesi alternative dichiarate, con il falsificatore milwardiano mantenuto permanentemente attivo e con il nodo Chiorazzo iscritto come falsificante parziale documentato. La stessa Nota Metodologica ritrasmessa dall'autore in apertura di sessione impone questa lettura, là dove nomina il rischio del Pollo di Popper e prescrive che la struttura dell'opera non sia organizzata attorno a un'ipotesi ma attorno ai dati. Resta sovrana la Regola di Ferro: dove la fonte documenta, l'opera certifica; dove la fonte tace, l'opera indaga e non afferma.</w:t>
      </w:r>
    </w:p>
    <w:p>
      <w:pPr>
        <w:spacing w:after="120" w:line="276" w:lineRule="auto" w:before="320"/>
        <w:jc w:val="both"/>
      </w:pPr>
      <w:r>
        <w:rPr>
          <w:rFonts w:ascii="Times New Roman" w:hAnsi="Times New Roman" w:cs="Times New Roman" w:eastAsia="Times New Roman"/>
          <w:b/>
          <w:sz w:val="24"/>
        </w:rPr>
        <w:t>Ruolo di revisione — rilettura della tavola delle lacune, priorità di solvibilità e selezione motivata</w:t>
      </w:r>
    </w:p>
    <w:p>
      <w:pPr>
        <w:spacing w:after="0" w:line="276" w:lineRule="auto"/>
        <w:ind w:firstLine="425"/>
        <w:jc w:val="both"/>
      </w:pPr>
      <w:r>
        <w:rPr>
          <w:rFonts w:ascii="Times New Roman" w:hAnsi="Times New Roman" w:cs="Times New Roman" w:eastAsia="Times New Roman"/>
          <w:b w:val="0"/>
          <w:sz w:val="24"/>
        </w:rPr>
        <w:t>In ottemperanza alla settima istruzione operativa e alla decima componente dello standard, la sessione si apre con la rilettura integrale della tavola delle lacune quale ruolo di revisione. Lo stato della tavola all'apertura cumula tre giacenze. La prima giacenza è la tavola della versione sessantacinquesima: il reintegro della Struttura dell'Opera V60 nel Project Knowledge, riservato all'autore; le sotto-lacune trasferite dall'edizione inaugurale come programma di lavoro, dallo spoglio del fondo della polizia politica portoghese alla Torre do Tombo fino ai rapporti dei Landeskriminalämter sulle bande predatorie georgiane nel bacino renano; le sotto-lacune diagnostiche della Scheda, dal sistema Cefis alla serie elettorale populista europea; le lacune metodologiche dello strato di revisione inaugurale, dal censimento integrale delle fonti all'estensione degli identificativi; la lacuna archivistica Vannacci. La seconda giacenza è la tavola del Dossier sui responsabili della morte di Aldo Moro, chiuso nella serata del primo agosto dopo la promulgazione della versione sessantacinquesima, con le sue otto voci prioritarie e con il limite di perimetro ivi dichiarato: l'assenza, in quella sessione, del Registro Integrale V63 e della tavola nominale integrale delle fonti dal perimetro di progetto. La terza giacenza è la memoria operativa dell'opera, che conserva voci pregresse mai formalmente riconciliate con la linea federata: la lacuna Falcone-Procura di Mosca, il documento speculare statunitense sulle operazioni coperte in Italia, l'emenda dell'indirizzo Hyperion dalla via Nicolò Tartaglia al Quai de la Tournelle, la questione filologica del corpus epistolare moroteo.</w:t>
      </w:r>
    </w:p>
    <w:p>
      <w:pPr>
        <w:spacing w:after="0" w:line="276" w:lineRule="auto"/>
        <w:ind w:firstLine="425"/>
        <w:jc w:val="both"/>
      </w:pPr>
      <w:r>
        <w:rPr>
          <w:rFonts w:ascii="Times New Roman" w:hAnsi="Times New Roman" w:cs="Times New Roman" w:eastAsia="Times New Roman"/>
          <w:b w:val="0"/>
          <w:sz w:val="24"/>
        </w:rPr>
        <w:t>L'assegnazione delle priorità di solvibilità, condotta secondo l'ottavo fondamento della revisione periodica dei casi freddi, colloca in testa al ruolo tre operazioni interamente solvibili in sessione con i soli mezzi del perimetro. La prima è la verifica del perimetro documentale: il limite dichiarato dal Dossier è verificabile immediatamente, perché la presenza o l'assenza del Registro Integrale V63 nelle conoscenze del progetto è un fatto accertabile per ispezione diretta. La seconda è la ricezione formale della spina del Dossier, che ha dichiarato la propria destinazione federativa e attende soltanto l'atto di incorporazione. La terza è il censimento del perimetro al due agosto, con l'assegnazione degli identificativi di fonte, per blocchi, ai corpora entrati nel perimetro e non ancora censiti dalla versione sessantacinquesima. Seguono, per solvibilità decrescente: la riconciliazione della memoria operativa, solvibile per atto dichiarativo; l'iscrizione dello statuto dell'ordo expositionis, solvibile perché i materiali costituzionali sono tutti in perimetro; il consolidamento della tavola. Restano non solvibili in sessione, e pertanto confermate in tavola, tutte le lacune archivistiche esterne. La selezione motivata coincide con il programma delle sei sezioni della presente edizione, che si esegue integralmente nell'ordine del ruolo.</w:t>
      </w:r>
    </w:p>
    <w:p>
      <w:pPr>
        <w:spacing w:after="120" w:line="276" w:lineRule="auto" w:before="320"/>
        <w:jc w:val="both"/>
      </w:pPr>
      <w:r>
        <w:rPr>
          <w:rFonts w:ascii="Times New Roman" w:hAnsi="Times New Roman" w:cs="Times New Roman" w:eastAsia="Times New Roman"/>
          <w:b/>
          <w:sz w:val="24"/>
        </w:rPr>
        <w:t>Indice delle sezioni</w:t>
      </w:r>
    </w:p>
    <w:p>
      <w:pPr>
        <w:spacing w:after="0" w:line="276" w:lineRule="auto"/>
        <w:ind w:firstLine="425"/>
        <w:jc w:val="both"/>
      </w:pPr>
      <w:r>
        <w:rPr>
          <w:rFonts w:ascii="Times New Roman" w:hAnsi="Times New Roman" w:cs="Times New Roman" w:eastAsia="Times New Roman"/>
          <w:b w:val="0"/>
          <w:sz w:val="24"/>
        </w:rPr>
        <w:t>La presente edizione si articola come segue. La Sezione Prima esegue la verifica del perimetro documentale e il censimento integrale al due agosto duemilaventisei, con la chiusura del limite di perimetro dichiarato dal Dossier e con la tranche nuova degli identificativi di fonte da FO-0215 a FO-0219. La Sezione Seconda contiene l'atto di ricezione della somma delle sessioni recenti, in ordine cronologico, dalla sessione del ventisette luglio alla sessione serale del primo agosto. La Sezione Terza contiene l'atto di incorporazione della spina del Dossier Moro, con le asserzioni da AS-0023 ad AS-0027, i verbali da VT-0012 a VT-0016 e i nodi da ND-0022 a ND-0039. La Sezione Quarta iscrive lo statuto dell'ordo expositionis e la struttura dell'opera letteraria per cerchi concentrici, con la riconferma dello statuto della macro-ipotesi. La Sezione Quinta riconcilia la memoria operativa con la linea federata, distinguendo le voci assorbite dalle voci aperte. La Sezione Sesta consolida la tavola delle lacune. Chiudono l'edizione l'atto di incorporazione degli strati esistenti, lo strato di revisione con l'elenco aggiornato degli identificativi stabili e il colophon.</w:t>
      </w:r>
    </w:p>
    <w:p>
      <w:pPr>
        <w:spacing w:after="120" w:line="276" w:lineRule="auto" w:before="320"/>
        <w:jc w:val="both"/>
      </w:pPr>
      <w:r>
        <w:rPr>
          <w:rFonts w:ascii="Times New Roman" w:hAnsi="Times New Roman" w:cs="Times New Roman" w:eastAsia="Times New Roman"/>
          <w:b/>
          <w:sz w:val="24"/>
        </w:rPr>
        <w:t>Sezione Prima — verifica del perimetro documentale e censimento integrale al due agosto</w:t>
      </w:r>
    </w:p>
    <w:p>
      <w:pPr>
        <w:spacing w:after="0" w:line="276" w:lineRule="auto"/>
        <w:ind w:firstLine="425"/>
        <w:jc w:val="both"/>
      </w:pPr>
      <w:r>
        <w:rPr>
          <w:rFonts w:ascii="Times New Roman" w:hAnsi="Times New Roman" w:cs="Times New Roman" w:eastAsia="Times New Roman"/>
          <w:b w:val="0"/>
          <w:sz w:val="24"/>
        </w:rPr>
        <w:t>La verifica del perimetro si apre con l'accertamento del limite dichiarato dal Dossier. L'ispezione diretta delle conoscenze del progetto al due agosto duemilaventisei accerta che il Registro Integrale V63 è presente nel perimetro, nella sua consistenza integrale di dieci milioni cinquecentonovantanovemiladuecentoventiquattro byte e di un milione quattrocentodiciassettemilasettecentoventidue parole. Il limite di perimetro dichiarato dal Dossier nella serata del primo agosto è pertanto chiuso quanto al Registro Integrale, che rientra nella federazione quale Strato Sesto alla sua edizione corrente; resta invece aperta, e confermata in tavola, l'assenza della Struttura dell'Opera V60, il cui reintegro è operazione di caricamento riservata all'autore. Il censimento complessivo accerta un perimetro di duecentosettanta file per un peso aggregato di seicentottantaquattro virgola cinque megabyte. Vi sono presenti, alla loro edizione corrente e verbatim nelle rispettive sedi: il Registro Omnicomprensivo V54 e il Registro Omnicomprensivo V58, conservati quali strati archeologici non più normativi ai sensi della decisione strutturale del Titanico; il Registro Analitico dei Nodi V55 integrale con i sei registri di corpus che lo cumulano, dai tre archivi al corpus GITOC, dai corpora interni quarto, quinto e sesto ai registri eurasiatici e balcanici; il Registro Integrale V63, custode dell'ordo expositionis; la Nota Metodologica V63 con le sei monografie e l'appendice prosopografica; la Scheda Diagnostica della Mutua Informazione Puntuale del primo agosto; il Prompt Evoluto V64 e il Prompt Evoluto V65; il Registro Unico Federato nelle edizioni inaugurale e seconda; la Nota Metodologica V2 integrale con l'Appendice Tecnica; l'elenco verificato dei fascicoli P2 alla versione sessantunesima con il supporto tabellare di lavoro; l'indice del corpus ALDO; il corpus documentale primario dell'opera, dalle sedute della Commissione Stragi alle sentenze, dai fondi parlamentari alle relazioni di commissione, dai materiali della serie BLAZE ai fondi statunitensi desecretati.</w:t>
      </w:r>
    </w:p>
    <w:p>
      <w:pPr>
        <w:spacing w:after="0" w:line="276" w:lineRule="auto"/>
        <w:ind w:firstLine="425"/>
        <w:jc w:val="both"/>
      </w:pPr>
      <w:r>
        <w:rPr>
          <w:rFonts w:ascii="Times New Roman" w:hAnsi="Times New Roman" w:cs="Times New Roman" w:eastAsia="Times New Roman"/>
          <w:b w:val="0"/>
          <w:sz w:val="24"/>
        </w:rPr>
        <w:t>Il censimento identifica cinque blocchi documentali entrati nel perimetro e non censiti dalla versione sessantacinquesima, ai quali la presente edizione assegna identificativi di fonte per blocco, in prosecuzione dell'elenco per ordine di apparizione e senza alcuna riassegnazione, riservando alla tavola il censimento per singola voce quale tranche successiva. FO-0215: il fascicolo investigativo del Federal Bureau of Investigation intestato Julius Rosenberg et al, desecretato ai sensi della normativa statunitense sull'accesso agli atti e riferito ad Anatolij Antonovič Jakovlev, vice-console sovietico a New York e ufficiale di collegamento della rete dello spionaggio atomico, in diciannove parti per trecentosessantanovemilasettecentoquarantotto parole complessive; fonte primaria istituzionale al primo gradiente, dominio terzo con proiezione sul dominio secondo. FO-0216: i volumi del Select Committee on Intelligence del Senato degli Stati Uniti sulle misure attive russe nelle elezioni del duemilasedici, comprensivi del sommario dei rilievi del maggio duemiladiciotto sull'infrastruttura elettorale, in sette file per quattrocentotrentunomilaseicentoquarantasette parole; fonte parlamentare al primo gradiente, cerniera documentale fra la sezione storica delle misure attive sovietiche e la sezione contemporanea della guerra cognitiva. FO-0217: la serie BLAZEIV, processi verbali dell'Ufficio di Presidenza allargato ai rappresentanti dei Gruppi della Commissione parlamentare d'inchiesta sul terrorismo in Italia della decima legislatura, presidenza Gualtieri, a partire dalla seduta del diciotto ottobre millenovecentottantotto, in ventiquattro documenti per quarantatremilanovecentonovantadue parole; fonte parlamentare al primo gradiente, che estende all'indietro la serie BLAZE già censita nei registri di corpus. FO-0218: il corpus testuale integrale degli scritti di Aldo Moro dal millenovecentotrentadue al millenovecentosettantotto, derivato dal dataset ENEIDE con unificazione e deduplicazione dei tre segmenti, in millesessantadue documenti per centotrentunomilatrecentoventicinque parole; corpus d'autore al primo gradiente per la critica testuale e per il Pattern Quindici delle parole sentinella, con lo statuto filologico dichiarato in tavola. FO-0219: la serie di documenti della Central Intelligence Agency declassificati nel programma CREST e riferiti all'Italia, comprensiva della National Intelligence Estimate ventiquattro barra cinquantaquattro del dodici novembre millenovecentocinquantaquattro sui probabili sviluppi in Italia, declassificata il diciotto gennaio duemilatredici, in cinque documenti per centoquarantaseimilatrecentoventiquattro parole; fonte primaria istituzionale al primo gradiente, dominio terzo con proiezione sul dominio secondo. Il conteggio delle parole è misurato, non stimato; la classificazione di gradiente segue la sezione del Gradiente di Derivazione istituita dalla versione sessantacinquesima; nessuno dei cinque blocchi risulta menzionato nel corpo della versione sessantacinquesima, il che ne certifica la novità rispetto all'ultimo censimento.</w:t>
      </w:r>
    </w:p>
    <w:p>
      <w:pPr>
        <w:spacing w:after="120" w:line="276" w:lineRule="auto" w:before="320"/>
        <w:jc w:val="both"/>
      </w:pPr>
      <w:r>
        <w:rPr>
          <w:rFonts w:ascii="Times New Roman" w:hAnsi="Times New Roman" w:cs="Times New Roman" w:eastAsia="Times New Roman"/>
          <w:b/>
          <w:sz w:val="24"/>
        </w:rPr>
        <w:t>Sezione Seconda — atto di ricezione della somma delle sessioni recenti</w:t>
      </w:r>
    </w:p>
    <w:p>
      <w:pPr>
        <w:spacing w:after="0" w:line="276" w:lineRule="auto"/>
        <w:ind w:firstLine="425"/>
        <w:jc w:val="both"/>
      </w:pPr>
      <w:r>
        <w:rPr>
          <w:rFonts w:ascii="Times New Roman" w:hAnsi="Times New Roman" w:cs="Times New Roman" w:eastAsia="Times New Roman"/>
          <w:b w:val="0"/>
          <w:sz w:val="24"/>
        </w:rPr>
        <w:t>La presente sezione esegue la parte del mandato che riguarda le sessioni delle ultime giornate, ricevendone i prodotti nella federazione in ordine cronologico, con l'indicazione, per ciascuna, degli esiti che entrano nel patrimonio probatorio, del loro grado e dei residui che passano in tavola. La ricezione è ricognitiva e non costitutiva: i gradi qui richiamati sono quelli assegnati nelle sedi documentali di origine, alle quali gli identificativi rinviano.</w:t>
      </w:r>
    </w:p>
    <w:p>
      <w:pPr>
        <w:spacing w:after="0" w:line="276" w:lineRule="auto"/>
        <w:ind w:firstLine="425"/>
        <w:jc w:val="both"/>
      </w:pPr>
      <w:r>
        <w:rPr>
          <w:rFonts w:ascii="Times New Roman" w:hAnsi="Times New Roman" w:cs="Times New Roman" w:eastAsia="Times New Roman"/>
          <w:b w:val="0"/>
          <w:sz w:val="24"/>
        </w:rPr>
        <w:t xml:space="preserve">Sessione del ventisette luglio, corpus moroteo e questione filologica. La sessione ha estratto e ordinato il corpus testuale integrale degli scritti di Aldo Moro dal dataset ENEIDE, millesessantadue documenti unici dal millenovecentotrentadue al sei marzo millenovecentosettantotto, ora censito quale FO-0218. La sessione ha inoltre esaminato la tesi di un innesto testuale kafkiano nella lettera di Moro a Francesco Cossiga del ventinove marzo millenovecentosettantotto: il contenuto della lettera e il destinatario risultano verificati su fonti istituzionali e accademiche, mentre la frase-fonte attribuita al Processo non è stata riscontrata in alcuna edizione consultata né attraverso i traduttori successivamente proposti; la tesi resta pertanto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condizione di falsificazione dichiarata nel riscontro della frase in un'edizione italiana anteriore al millenovecentosettantotto, mentre la lettura tematica della risonanza morotea-kafkiana è ammessa come interpretazione dichiarata e non come fatto. La sessione registra un'avvertenza di igiene della fonte: l'interlocutore si è qualificato come il curatore dell'edizione critica dell'epistolario, identità non verificata in sessione; l'avvertenza si estende alla lista di trentatré affiliati alla P2 con ruoli istituzionali e numeri di tessera ivi fornita, la cui numerazione non coincide con quella delle liste pubblicate, sicché la scheda concordata a tre campi separati — ruolo istituzionale verificato, affiliazione confermata sulle liste pubblicate, numero di tessera come dato fornito dall'autore in attesa di riscontro sulla fonte primaria — resta in tavola come esecuzione pendente.</w:t>
      </w:r>
    </w:p>
    <w:p>
      <w:pPr>
        <w:spacing w:after="0" w:line="276" w:lineRule="auto"/>
        <w:ind w:firstLine="425"/>
        <w:jc w:val="both"/>
      </w:pPr>
      <w:r>
        <w:rPr>
          <w:rFonts w:ascii="Times New Roman" w:hAnsi="Times New Roman" w:cs="Times New Roman" w:eastAsia="Times New Roman"/>
          <w:b w:val="0"/>
          <w:sz w:val="24"/>
        </w:rPr>
        <w:t xml:space="preserve">Sessione notturna del primo agosto, consolidamento del Registro Integrale V63. La sessione ha prodotto il Registro Integrale V63, un milione quattrocentodiciassettemilasettecentoventidue parole, che consolida la linea dei registri in una baseline unica e che la presente edizione verifica presente in perimetro. Entrano con essa nella federazione le acquisizioni maggiori della sessione: l'estrazione integrale della lista degli iscritti alla P2 dalla Relazione Anselmi, novecentosessanta record ordinati per numero di fascicolo, con conferma della struttura a due livelli e dei diciassette capigruppo; la guida parlamentare alla consultazione dei volumi, che accerta il sequestro di sei liste distinte, l'esistenza di almeno sei sistemi di numerazione indipendenti e il mancato ritrovamento dell'archivio dei fascicoli personali, accertamento che governa da allora ogni uso probatorio dei numeri di tessera; la Relazione della Commissione Fioroni del dicembre duemilasedici, fonte primaria più recente, che documenta l'avvertimento trasmesso dal colonnello Giovannone da Beirut il diciassette febbraio millenovecentosettantotto, ventisette giorni prima del sequestro, classificato dalla Commissione come l'allarme e la sua sottovalutazione, con chiusura sostanziale della lacuna Hyperion sul piano informativo; il canale istituzionale fra Gelli e il SISDE documentato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attraverso la corrispondenza formale fra la presidenza della Commissione, la Presidenza del Consiglio e il CESIS negli allegati della Relazione. Entrano parimenti le acquisizioni metodologiche che la linea federata ha poi costituzionalizzato: la distinzione fra ordo expositionis e ordo probandi; il criterio di indipendenza genealogica delle fonti, per il quale un unico evento di sequestro e tutti i suoi derivati contano come una catena sola; l'effetto lampione, per il quale la densità documentale misura l'attenzione e non l'intensità storica; la teoria dei contenitori, che sostituisce alla metafora della regia l'immagine delle istituzioni come contenitori occupabili, con il corollario della cattura ricorsiva e la tipologia dei tre regimi; la sospensione dichiarata, e non silenziosa, della teoria luhmanniana per il caso Moro con l'adozione del quadro del Doppio Stato; il rilievo statistico della penetrazione differenziale, con i vertici politici a penetrazione nulla e i vertici dei servizi al cinquanta per cento, test esatto di Fisher con p uguale a zero virgola zero zero trentotto, iscritto al grado della fonte che lo sostiene.</w:t>
      </w:r>
    </w:p>
    <w:p>
      <w:pPr>
        <w:spacing w:after="0" w:line="276" w:lineRule="auto"/>
        <w:ind w:firstLine="425"/>
        <w:jc w:val="both"/>
      </w:pPr>
      <w:r>
        <w:rPr>
          <w:rFonts w:ascii="Times New Roman" w:hAnsi="Times New Roman" w:cs="Times New Roman" w:eastAsia="Times New Roman"/>
          <w:b w:val="0"/>
          <w:sz w:val="24"/>
        </w:rPr>
        <w:t xml:space="preserve">Sessione mattutina del primo agosto, ricostruzione stratificata e linea Titanico. La sessione ha disaggregato il sequestro Moro dal frame monolitico dell'attore unico, ricostruendone le componenti operative con fonte per componente, e ha prodotto il dossier sulle infiltrazioni nelle Brigate Rosse e nelle strutture palestinesi con gli incroci documentati verso le pressioni atlantiche, la rete stay-behind, la loggia P2, le misure attive sovietiche e la criminalità organizzata, ciascun incrocio al proprio grado. La sessione ha inoltre prodotto un esito negativo certificato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doppia forma: nessuna fonte documenta un ammiraglio Tighe di stanza in Sardegna, e nessuna connessione genealogica sussiste fra la famiglia Tighe, di origine irlandese, e la famiglia Tilgher, di origine tedesca; l'esito negativo certificato ha statuto di fatto pieno. Sul piano architetturale la sessione ha promulgato la linea Titanico: la versione sessantaquattresima come baseline consolidata e deduplicata dei soli gradi A e B, con la Parte Moro, il Registro D delle condotte contaminanti documentate e il Pattern Diciassette dell'Indice di Contaminazione della Fonte; la versione sessantacinquesima con la deduplicazione semantica a soglia di similarità zero virgola ottantotto, il filtro dei cinquantadue marcatori congetturali e l'estensione del Registro D ai teatri di Bologna, del canale Giovannone e del Lodo Moro, della P2 e di Gladio; il Registro D Titanico come strumento istruttorio autonomo, poi elevato a Camera. La decisione strutturale ivi assunta — il superamento della cumulatività preservativa per stratificazione verbatim, con conservazione archeologica delle versioni pregresse — è la premessa della forma federativa nella quale il presente atto di somma si esegue.</w:t>
      </w:r>
    </w:p>
    <w:p>
      <w:pPr>
        <w:spacing w:after="0" w:line="276" w:lineRule="auto"/>
        <w:ind w:firstLine="425"/>
        <w:jc w:val="both"/>
      </w:pPr>
      <w:r>
        <w:rPr>
          <w:rFonts w:ascii="Times New Roman" w:hAnsi="Times New Roman" w:cs="Times New Roman" w:eastAsia="Times New Roman"/>
          <w:b w:val="0"/>
          <w:sz w:val="24"/>
        </w:rPr>
        <w:t xml:space="preserve">Sessione delle schede del primo agosto. La sessione ha prodotto undici documenti di scheda, dei quali entrano nella federazione, ai gradi assegnati nelle rispettive sedi: la scheda sulle reti renane della 'Ndrangheta nel Nordreno-Vestfalia, che chiude la quinta lacuna con verdetto negativo-positivo; la scheda sulla linea dei paracadutisti, dalla Folgore e dalla Nembo alle traiettorie novecentesche e contemporanee ivi documentate; l'appendice prosopografica reducistica sulla notte del golpe Borghese e sulla cinghia di trasmissione reducistica; la scheda sullo snodo Borghese-Sindona e sulla trilogia golpista, con la declassificazione formale del tassello bancario e con l'acquisizione della testimonianza parlamentare di Buscetta su tre distinti tentativi di colpo di Stato a mediazione massonica, acquisizione che apre in tavola l'incrocio sistematico con il circuito Iside Due e Scontrino; la scheda sulle metamorfosi della rete nera, con l'inquadramento del canale antagonista; lo studio onomastico-genealogico sul cognome Vannacci, che consegna la scoperta documentale della sessione: l'atto di nascita di Wanda Vannacci, registro dello stato civile di Pistoia, atto centodiciassette, nata il sette febbraio millenovecentoventisei da Luigi Vannacci e Fosca Palandri,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prima identificazione documentata della linea ascendente della prima moglie di Licio Gelli. La medesima scheda ha rigettato come metodologicamente inammissibile, sotto la disciplina del Pollo di Popper, il ponte fonetico fra i cognomi Vannucci e Vannacci per via di pronuncia inglese, e ha classificato l'ipotesi di parentela fra Wanda e Roberto Vannacci 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attesa dell'albero paterno di quest'ultimo.</w:t>
      </w:r>
    </w:p>
    <w:p>
      <w:pPr>
        <w:spacing w:after="0" w:line="276" w:lineRule="auto"/>
        <w:ind w:firstLine="425"/>
        <w:jc w:val="both"/>
      </w:pPr>
      <w:r>
        <w:rPr>
          <w:rFonts w:ascii="Times New Roman" w:hAnsi="Times New Roman" w:cs="Times New Roman" w:eastAsia="Times New Roman"/>
          <w:b w:val="0"/>
          <w:sz w:val="24"/>
        </w:rPr>
        <w:t xml:space="preserve">Sessione pomeridiana del primo agosto, corpus ALDO, Nota V63 e diagnostica. La sessione ha estratto il lotto degli archivi annidati ALDO, centotrentasette contenitori risolti in centottantanove documenti finali per centoundici megabyte — ottantasei registrazioni genealogiche, sessantanove schermate, trentatré documenti a stampa — organizzati per raggruppamenti onomastici e corredati dell'indice navigabile; la convergenza geografica pistoiese fra la linea Gelli e la linea genealogica Vannacci è stata segnalata come pista del Pattern Dieci 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l'avvertenza espressa che la co-occorrenza di cognomi nelle banche dati genealogiche non costituisce parentela documentata. La sessione ha generato il documento consolidato della Nota Metodologica V63 con le sei monografie — Aginter Press; chiusura di tre lacune; anomalia Mino-Pecorelli; diagnosi di circolarità e Safari Club; 'Ndrangheta renana; linea dei paracadutisti — e con l'appendice prosopografica parziale, dichiarando in tavola i due segmenti assenti. La sessione ha infine eseguito la passata diagnostica: motore della mutua informazione puntuale su centocinquantuno file validi per quattro milioni e settecentocinquantamila parole, ventottomilacinquecentotrentacinque finestre e ventiseimilanovecentonovantadue coppie; firma temporale bimodale con i due picchi nel periodo della strategia della tensione fra il millenovecentosessantanove e il millenovecentottanta e nel biennio duemilaventiquattro-duemilaventisei; asse Intelligence per Terrorismo più denso con centosettantatré coppie forti; espansione del dizionario dei semi da duecentonovantasette a trecentotrentacinque entità con la codifica di tre filoni prima fuori semenza, il maccartismo hollywoodiano fra ottavo e secondo dominio, i comitati clandestini atlantici nel terzo, i cartelli messicani nel primo; scheda diagnostica con classificazione Savona in linea su ciascun segnale ed esclusione produttiva, dal filtro del rumore, dei mega-registri autoreferenziali, a garanzia che i segnali emergano dal corpus e non dai prodotti dell'opera, in applicazione della regola per cui i prodotti dell'opera non sono fonti dell'opera.</w:t>
      </w:r>
    </w:p>
    <w:p>
      <w:pPr>
        <w:spacing w:after="0" w:line="276" w:lineRule="auto"/>
        <w:ind w:firstLine="425"/>
        <w:jc w:val="both"/>
      </w:pPr>
      <w:r>
        <w:rPr>
          <w:rFonts w:ascii="Times New Roman" w:hAnsi="Times New Roman" w:cs="Times New Roman" w:eastAsia="Times New Roman"/>
          <w:b w:val="0"/>
          <w:sz w:val="24"/>
        </w:rPr>
        <w:t>Sessione del Registro Unico Federato inaugurale, primo agosto. La sessione ha eseguito il Prompt Evoluto V64 producendo l'edizione inaugurale della federazione: la spina delle asserzioni da AS-0001 ad AS-0018 in forma di nanopubblicazioni, lo strato delle fonti inaugurale, il protocollo di validazione statistica con modello nullo di Poisson e correzione di Benjamini-Hochberg alla soglia q uguale a zero virgola zero uno, la riemissione della matrice di contaminazione, le concordanze dei nodi e lo strato di revisione.</w:t>
      </w:r>
    </w:p>
    <w:p>
      <w:pPr>
        <w:spacing w:after="0" w:line="276" w:lineRule="auto"/>
        <w:ind w:firstLine="425"/>
        <w:jc w:val="both"/>
      </w:pPr>
      <w:r>
        <w:rPr>
          <w:rFonts w:ascii="Times New Roman" w:hAnsi="Times New Roman" w:cs="Times New Roman" w:eastAsia="Times New Roman"/>
          <w:b w:val="0"/>
          <w:sz w:val="24"/>
        </w:rPr>
        <w:t xml:space="preserve">Sessione serale del primo agosto, istruttoria Vannacci e promulgazione dei Prompt. La sessione ha condotto l'istruttoria a cascata in tredici passaggi sul quesito Vannacci, chiusa con tre esiti graduati: omonimia confermata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parentela prossima non asseribile, sotto la soglia del terzo grado; ceppo toscano comune remoto come ipotesi falsificabile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emissione della correzione della data di nascita erroneamente registrata per Roberto Vannacci e con il protocollo archivistico in quattro passi, del quale restano pendenti in capo all'autore la consultazione della collezione dello stato civile pistoiese con identificativo millequattrocentonovantatremilaquattrocentosessantadue e la richiesta all'ufficio comunale competente. La sessione ha quindi promulgato il Prompt Evoluto V64, che fonda l'architettura federata su otto letterature indipendenti — la dottrina alleata del codice di ammiragliato, gli standard analitici della comunità d'intelligence statunitense, le linee guida forensi europee sulla refertazione valutativa, l'analisi delle prove di scuola anglosassone, la dottrina della spoliazione dalla giurisprudenza settecentesca alla regola federale vigente, la letteratura sperimentale sulle tecniche analitiche strutturate, i modelli di provenienza delle discipline umanistiche digitali con la prosopografia fattoide e le nanopubblicazioni, il filtro di disparità della fisica statistica delle reti — e che decide l'elevazione del Registro D a pilastro normativo autonomo della federazione anziché la sua fusione, con lo standard Savona due punto zero in sei componenti. La sessione ha infine promulgato il Prompt Evoluto V65, che integra la teoria delle élite di tradizione machiavelliana riconducendo alla genealogia scientifica di Mosca, Pareto, Michels, Burnham e de Jouvenel i soli elementi operazionalizzabili e falsificabili del pensiero neoreazionario contemporaneo, dichiara in apertura il problema di riflessività — il medesimo pensatore è insieme candidato strumento metodologico e possibile oggetto d'indagine nelle sezioni sulla rete tecnologico-finanziaria e sul riallineamento antilaicale — e lo risolve con lo statuto duale, respingendo formalmente tre elementi: l'epistemologia della conversione, lo sconto categoriale delle fonti per classe di appartenenza e il programma normativo.</w:t>
      </w:r>
    </w:p>
    <w:p>
      <w:pPr>
        <w:spacing w:after="0" w:line="276" w:lineRule="auto"/>
        <w:ind w:firstLine="425"/>
        <w:jc w:val="both"/>
      </w:pPr>
      <w:r>
        <w:rPr>
          <w:rFonts w:ascii="Times New Roman" w:hAnsi="Times New Roman" w:cs="Times New Roman" w:eastAsia="Times New Roman"/>
          <w:b w:val="0"/>
          <w:sz w:val="24"/>
        </w:rPr>
        <w:t xml:space="preserve">Sessione serale del primo agosto, il Dossier. Dopo la promulgazione della versione sessantacinquesima, la sessione conclusiva della giornata ha prodotto il dossier in cinque fasi sui responsabili della morte di Aldo Moro, che la Sezione Terza incorpora quanto alla spina. Se ne ricevono qui gli esiti sostanziali, ai gradi assegnati nella sede documentale. Sul piano dell'esecuzione: l'agguato di via Fani del sedici marzo millenovecentosettantotto con l'eccidio della scorta — Oreste Leonardi, Domenico Ricci, Raffaele Iozzino, Giulio Rivera, Francesco Zizzi — la direzione del comitato esecutivo, la prigione di via Montalcini e l'esecuzione del nove maggio sono certificati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forza del giudicato formatosi lungo cinque gradi processuali, con la revisione giudiziaria successiva alle dichiarazioni di Maccari che attribuisce l'atto esecutivo a Moretti. Sul piano della condotta degli apparati: le due omissioni qualificate di via Gradoli; la seduta del due aprile a Zappolino, il cui statuto epistemologico è scisso — il fatto della seduta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natura del canale non giudicata; la presenza di affiliati alla P2 nei comitati di crisi come responsabilità posizionale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il duplice ritrovamento di via Monte Nevoso con il marcatore di spoliazione; la governance delle quattro fonti dichiarative degradate secondo la matrice di contaminazione. Sul piano del mandato: la procedura delle ipotesi concorrenti con gli esiti negativi dichiarati e con le predizioni verificabili, sotto la Regola di Ferro dei tre piani che vieta l'inferenza dal depistaggio al mandato; restano aperte, e passano in tavola, le due anomalie di scena — l'ipotesi fotografica e la testimonianza Marini. Il dossier dichiara ciò che non afferma, e questa dichiarazione è parte integrante del suo valore probatorio.</w:t>
      </w:r>
    </w:p>
    <w:p>
      <w:pPr>
        <w:spacing w:after="120" w:line="276" w:lineRule="auto" w:before="320"/>
        <w:jc w:val="both"/>
      </w:pPr>
      <w:r>
        <w:rPr>
          <w:rFonts w:ascii="Times New Roman" w:hAnsi="Times New Roman" w:cs="Times New Roman" w:eastAsia="Times New Roman"/>
          <w:b/>
          <w:sz w:val="24"/>
        </w:rPr>
        <w:t>Sezione Terza — atto di incorporazione della spina del Dossier Moro</w:t>
      </w:r>
    </w:p>
    <w:p>
      <w:pPr>
        <w:spacing w:after="0" w:line="276" w:lineRule="auto"/>
        <w:ind w:firstLine="425"/>
        <w:jc w:val="both"/>
      </w:pPr>
      <w:r>
        <w:rPr>
          <w:rFonts w:ascii="Times New Roman" w:hAnsi="Times New Roman" w:cs="Times New Roman" w:eastAsia="Times New Roman"/>
          <w:b w:val="0"/>
          <w:sz w:val="24"/>
        </w:rPr>
        <w:t>In esecuzione della destinazione federativa dichiarata dal Dossier, la presente edizione ne incorpora la spina nel sistema degli identificativi stabili, per rinvio alla sede documentale e senza riscrittura. Entrano nella serie delle asserzioni gli identificativi da AS-0023 ad AS-0027, corrispondenti, nella serie interna del Dossier, agli identificativi da ITN-A-cinquantanove a ITN-A-sessantatré; la corrispondenza fra le due serie è iscritta a registro e la serie AS resta la serie sovrana della federazione. Entrano nell'archivio dei verbali di transito gli identificativi da VT-0012 a VT-0016, che portano l'archivio istituito dalla versione sessantacinquesima a sedici verbali. Entrano nella serie dei nodi gli identificativi da ND-0022 a ND-0039, per i diciotto nodi iscritti dal Dossier sui tre piani della responsabilità. Le concordanze per canale dichiarate dal Dossier si integrano nelle concordanze federali; la tavola del Dossier, con le sue otto voci prioritarie, si trasferisce nella tavola federale per rinvio alla sede documentale, con l'enumerazione espressa delle due anomalie di scena aperte. L'incorporazione è ricognitiva: i gradi, le condizioni di falsificazione e i vincoli di piano restano quelli fissati nella sede di origine, e ogni loro eventuale revisione futura dovrà transitare per la Camera Istruttoria con verbale.</w:t>
      </w:r>
    </w:p>
    <w:p>
      <w:pPr>
        <w:spacing w:after="120" w:line="276" w:lineRule="auto" w:before="320"/>
        <w:jc w:val="both"/>
      </w:pPr>
      <w:r>
        <w:rPr>
          <w:rFonts w:ascii="Times New Roman" w:hAnsi="Times New Roman" w:cs="Times New Roman" w:eastAsia="Times New Roman"/>
          <w:b/>
          <w:sz w:val="24"/>
        </w:rPr>
        <w:t>Sezione Quarta — statuto dell'ordo expositionis e struttura dell'opera letteraria</w:t>
      </w:r>
    </w:p>
    <w:p>
      <w:pPr>
        <w:spacing w:after="0" w:line="276" w:lineRule="auto"/>
        <w:ind w:firstLine="425"/>
        <w:jc w:val="both"/>
      </w:pPr>
      <w:r>
        <w:rPr>
          <w:rFonts w:ascii="Times New Roman" w:hAnsi="Times New Roman" w:cs="Times New Roman" w:eastAsia="Times New Roman"/>
          <w:b w:val="0"/>
          <w:sz w:val="24"/>
        </w:rPr>
        <w:t xml:space="preserve">L'ordine gerarchico in dieci punti consegnato dall'autore è iscritto nella presente sezione quale ordo expositionis dell'opera letteraria: esso governa la sequenza narrativa, l'architettura dei cerchi e la disposizione delle parti, e non governa la prova, che resta affidata all'ordo probandi, alla catena documentale dal basso e allo standard Savona nella sua versione due punto uno. La distinzione, codificata dalla versione sessantesima e confermata da tutte le edizioni successive, è la difesa strutturale dell'opera contro il rischio nominato dalla stessa Nota Metodologica: il Pollo di Popper, l'organizzazione delle prove in cerchi concentrici attorno a una tesi predeterminata. Ne discende lo statuto della macro-ipotesi: la convergenza antagonista fra le due superpotenze contro l'integrazione europea, che costituisce l'ossatura dei punti dal secondo al decimo dell'ordine consegnato, resta ipotesi H1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falsificabile, misurata dal Pattern Sedici con la sua procedura, in competizione permanente con le ipotesi alternative dichiarate: la convergenza emergente da interessi paralleli senza coordinamento; la prevalenza delle dinamiche endogene italiane ed europee; la lettura milwardiana dell'integrazione come salvataggio dello Stato-nazione condotto da attori europei per ragioni europee, mantenuta attiva quale falsificatore più forte. Il nodo Chiorazzo resta iscritto quale falsificante parziale documentato, esempio della capacità del metodo dal basso di produrre risultati che contraddicono la macro-tesi. Il decimo punto dell'ordine — il favore prestato alle ascese populiste quale strumento di indebolimento economico del continente — resta, sul piano della prova, il programma di ricerca già dichiarato in tavola come strutturazione della serie elettorale populista europea, e non un'asserzione aggiudicata.</w:t>
      </w:r>
    </w:p>
    <w:p>
      <w:pPr>
        <w:spacing w:after="0" w:line="276" w:lineRule="auto"/>
        <w:ind w:firstLine="425"/>
        <w:jc w:val="both"/>
      </w:pPr>
      <w:r>
        <w:rPr>
          <w:rFonts w:ascii="Times New Roman" w:hAnsi="Times New Roman" w:cs="Times New Roman" w:eastAsia="Times New Roman"/>
          <w:b w:val="0"/>
          <w:sz w:val="24"/>
        </w:rPr>
        <w:t>Entro questo statuto, la struttura dell'opera letteraria si dispone per cerchi concentrici e a macchia d'olio, dall'Italia come campo di battaglia verso l'esterno. Il Cerchio Primo è l'Italia: la sequenza stragista dal dodici dicembre millenovecentosessantanove alle bombe del millenovecentonovantatré; il caso Moro con i tre piani del Dossier — esecuzione, condotta degli apparati, mandato — quale modello aggiudicativo per ogni caso maggiore; la loggia P2 con le novecentosessanta posizioni estratte dalla Relazione Anselmi e con la disciplina delle sei numerazioni; la rete stay-behind; le organizzazioni criminali dei quattro ceppi storici e le loro cerniere istituzionali; la stagione dei colpi di Stato mancati con la trilogia golpista a mediazione massonica documentata dalla testimonianza Buscetta. Il Cerchio Secondo è l'Europa occidentale: la rete continentale stay-behind; l'Aginter Press con la monografia dedicata; il circuito Hyperion di Parigi con l'emenda toponomastica dichiarata in tavola; le reti renane della 'Ndrangheta con la quinta lacuna chiusa; i Balcani e la dorsale adriatica dei registri di corpus. Il Cerchio Terzo è il piano delle superpotenze: i fondi statunitensi desecretati, dalla National Intelligence Estimate del millenovecentocinquantaquattro ai fascicoli del Bureau, con il fascicolo Jakovlev quale giacimento della sezione delle misure attive di prima generazione; i volumi senatoriali sulle misure attive del duemilasedici quale giacimento della sezione contemporanea; il Pattern Sedici quale procedura di misurazione della convergenza. Il Cerchio Quarto è il Mediterraneo allargato: il canale Giovannone e il Lodo Moro; il Safari Club con la diagnosi di circolarità già iscritta nella Nota V63; i teatri mediorientali dei registri. Il Cerchio Quinto è la dimensione eurasiatica e contemporanea: i corpora russi, la costellazione paramilitare, la guerra cognitiva, il riallineamento antilaicale del biennio in corso. All'indietro, il Volume Zero risale le radici; la Sezione Storica custodisce il pre-millenovecentoquarantatré. Ogni cerchio espone; nessun cerchio prova; la prova sale sempre dal documento.</w:t>
      </w:r>
    </w:p>
    <w:p>
      <w:pPr>
        <w:spacing w:after="120" w:line="276" w:lineRule="auto" w:before="320"/>
        <w:jc w:val="both"/>
      </w:pPr>
      <w:r>
        <w:rPr>
          <w:rFonts w:ascii="Times New Roman" w:hAnsi="Times New Roman" w:cs="Times New Roman" w:eastAsia="Times New Roman"/>
          <w:b/>
          <w:sz w:val="24"/>
        </w:rPr>
        <w:t>Sezione Quinta — riconciliazione della memoria operativa</w:t>
      </w:r>
    </w:p>
    <w:p>
      <w:pPr>
        <w:spacing w:after="0" w:line="276" w:lineRule="auto"/>
        <w:ind w:firstLine="425"/>
        <w:jc w:val="both"/>
      </w:pPr>
      <w:r>
        <w:rPr>
          <w:rFonts w:ascii="Times New Roman" w:hAnsi="Times New Roman" w:cs="Times New Roman" w:eastAsia="Times New Roman"/>
          <w:b w:val="0"/>
          <w:sz w:val="24"/>
        </w:rPr>
        <w:t>La memoria operativa dell'opera conserva voci formatesi nelle stagioni precedenti della linea versionale che la presente edizione riconcilia formalmente con la linea federata, distinguendo l'assorbito dall'aperto. Sono assorbite, e cessano di figurare come pendenze autonome: la generazione della versione cinquantanovesima con replicazione tripartita, superata dalla promulgazione della linea Titanico e della federazione, che ne assorbono la funzione; la sezione Aginter-Hyperion quale quinta lacuna del vecchio registro, sostanzialmente colmata dalla monografia Aginter Press della Nota V63 e dall'acquisizione Fioroni sul piano informativo, con il solo residuo toponomastico che passa in tavola; la lacuna sulle reti renane, chiusa con verdetto; l'integrazione del corpus moroteo, eseguita con il censimento FO-0218, ferma restando la questione filologica. Restano aperte, e si trasferiscono in tavola quali voci federali: la lacuna Falcone-Procura di Mosca; il documento speculare statunitense sulle operazioni coperte in Italia; l'emenda dell'indirizzo Hyperion, della quale la verifica condotta in sessione sul Registro Integrale V63 accerta la persistenza — il toponimo della via romana ricorre nelle due occorrenze che designano l'agenzia, mentre il lungosenna parigino non vi compare — sicché l'emenda pendente dalla versione cinquantottesima non risulta ancora applicata allo strato narrativo e dovrà essere eseguita distinguendo la sede parigina dall'eventuale recapito romano documentato dagli atti parlamentari, con datazione verificata; la questione filologica del corpus epistolare moroteo, con il chiarimento del criterio fra lettere consegnate e minute e con la questione dei diritti dell'edizione critica; la scheda a tre campi sulle tessere P2 concordata nella sessione del ventotto luglio.</w:t>
      </w:r>
    </w:p>
    <w:p>
      <w:pPr>
        <w:spacing w:after="120" w:line="276" w:lineRule="auto" w:before="320"/>
        <w:jc w:val="both"/>
      </w:pPr>
      <w:r>
        <w:rPr>
          <w:rFonts w:ascii="Times New Roman" w:hAnsi="Times New Roman" w:cs="Times New Roman" w:eastAsia="Times New Roman"/>
          <w:b/>
          <w:sz w:val="24"/>
        </w:rPr>
        <w:t>Sezione Sesta — tavola delle lacune consolidata</w:t>
      </w:r>
    </w:p>
    <w:p>
      <w:pPr>
        <w:spacing w:after="0" w:line="276" w:lineRule="auto"/>
        <w:ind w:firstLine="425"/>
        <w:jc w:val="both"/>
      </w:pPr>
      <w:r>
        <w:rPr>
          <w:rFonts w:ascii="Times New Roman" w:hAnsi="Times New Roman" w:cs="Times New Roman" w:eastAsia="Times New Roman"/>
          <w:b w:val="0"/>
          <w:sz w:val="24"/>
        </w:rPr>
        <w:t>La tavola federale, consolidata alla presente edizione, si compone come segue, in prosa e per ordine di priorità decrescente entro ciascun gruppo. Gruppo primo, perimetro e censimento: il reintegro della Struttura dell'Opera V60 nel Project Knowledge, riservato all'autore; il censimento per singola voce dei cinque blocchi FO-0215, FO-0216, FO-0217, FO-0218 e FO-0219, quale tranche successiva della prosecuzione degli identificativi; l'estensione degli identificativi a tutti i nodi dello strato narrativo e a tutte le fonti dell'opera oltre le tranche eseguite. Gruppo secondo, caso Moro: le otto voci prioritarie della tavola del Dossier, incorporate per rinvio alla sede documentale; le due anomalie di scena aperte, l'ipotesi fotografica e la testimonianza Marini; la questione filologica del corpus epistolare con il criterio fra lettere consegnate e minute e con la questione dei diritti dell'edizione critica; l'emenda toponomastica Hyperion allo strato narrativo, con la distinzione fra la sede parigina del lungosenna e l'eventuale recapito romano e con datazione da verificare sugli atti. Gruppo terzo, programma archivistico trasferito dall'edizione inaugurale: lo spoglio del fondo della polizia politica portoghese alla Torre do Tombo; l'identificazione del garante-informatore degli Affari Riservati; lo statuto del caso Cabral; il segmento spagnolo-latinoamericano posteriore al millenovecentosettantaquattro; la verifica del riferimento al tentato colpo di Stato algerino del millenovecentosessantasei; il destino processuale delle carte Stepankov; lo spoglio integrale dei volumi delle Foreign Relations; il monitoraggio dei filoni tedeschi dell'operazione Eureka per eventuali terminali russofoni; la schedatura del porto di Duisburg come terminale eurasiatico; la raccolta casistica sull'evasione delle sanzioni con servizi criminali italiani; l'acquisizione dei rapporti dei Landeskriminalämter sulle bande predatorie georgiane nel bacino renano. Gruppo quarto, diagnostica: il sistema Cefis con scheda dedicata arco per arco; gli archi laterali del grappolo Giovannone; la codifica a livello di fonte dei giacimenti Wagner, International Democrat Union e Hollywood Anti-Nazi League; la strutturazione della serie elettorale populista europea, che è anche la sede probatoria del decimo punto dell'ordine espositivo; l'adozione del modello nullo a massima entropia per la prossima passata; la disambiguazione onomastica dei segnali scartati per omonimia; la ripetizione della passata diagnostica sul perimetro allargato ai cinque blocchi nuovi, la cui massa — oltre un milione centoventimila parole aggregate — è tale da poter modificare la firma temporale e la gerarchia degli assi. Gruppo quinto, istruttorie genealogiche e schede: la lacuna archivistica Vannacci, con la consultazione della collezione pistoiese indicata e la richiesta all'ufficio di stato civile, in capo all'autore; l'albero paterno di Roberto Vannacci sui registri di La Spezia e toscani; l'ascendenza di Luigi Vannacci sui registri pistoiesi; l'incrocio sistematico della trilogia golpista di Buscetta con il circuito Iside Due e Scontrino; la ricezione eurasiatista italiana da fonti d'area senza inferenza; le schede genealogiche dei raggruppamenti residui del corpus ALDO già chiuse in via negativa, riattivabili solo su documento nuovo; la scheda a tre campi sulle tessere P2. Gruppo sesto, lacune storiche della memoria: la lacuna Falcone-Procura di Mosca; il documento speculare statunitense sulle operazioni coperte in Italia; i due segmenti assenti della Nota V63. Ogni voce della tavola è dotata, nella propria sede, delle condizioni di scioglimento; la tavola è il ruolo di revisione della prossima sessione.</w:t>
      </w:r>
    </w:p>
    <w:p>
      <w:pPr>
        <w:spacing w:after="120" w:line="276" w:lineRule="auto" w:before="320"/>
        <w:jc w:val="both"/>
      </w:pPr>
      <w:r>
        <w:rPr>
          <w:rFonts w:ascii="Times New Roman" w:hAnsi="Times New Roman" w:cs="Times New Roman" w:eastAsia="Times New Roman"/>
          <w:b/>
          <w:sz w:val="24"/>
        </w:rPr>
        <w:t>Atto di incorporazione degli strati esistenti</w:t>
      </w:r>
    </w:p>
    <w:p>
      <w:pPr>
        <w:spacing w:after="0" w:line="276" w:lineRule="auto"/>
        <w:ind w:firstLine="425"/>
        <w:jc w:val="both"/>
      </w:pPr>
      <w:r>
        <w:rPr>
          <w:rFonts w:ascii="Times New Roman" w:hAnsi="Times New Roman" w:cs="Times New Roman" w:eastAsia="Times New Roman"/>
          <w:b w:val="0"/>
          <w:sz w:val="24"/>
        </w:rPr>
        <w:t>In ossequio alla federazione per riferimento e al principio di somma costituzionale, gli strati esistenti dell'opera entrano nella presente edizione alla loro edizione corrente, preservati verbatim, senza riscrittura, abbreviazione o parafrasi, con i loro corpi nelle rispettive sedi documentali collegate dagli identificativi stabili. Entrano così nella federazione: lo Strato Primo, delle fonti e della provenienza, costituito dallo strato inaugurale, dal censimento del corpus ALDO con la sezione del Gradiente di Derivazione e dalla tranche nuova dei cinque blocchi da FO-0215 a FO-0219 istituita dalla presente edizione; lo Strato Secondo, dei nodi, costituito dal Registro Analitico dei Nodi V55 con i sei registri di corpus e con la scheda-nodo Wanda Vannacci e il relativo addendum correttivo; lo Strato Terzo, delle asserzioni e degli archi, costituito dalla spina cumulata da AS-0001 ad AS-0027, con lo strato delle fonti inaugurale, le concordanze e gli strati di revisione delle edizioni precedenti, che la presente estende senza riscriverli; lo Strato Quarto, della diagnostica, costituito dalla Scheda della Mutua Informazione Puntuale del primo agosto con il protocollo di validazione e il Registro degli Esiti Negativi; lo Strato Quinto, della contaminazione, costituito dal Registro D Titanico elevato a Camera Istruttoria, con la matrice riemessa, la mappa delle condotte da CD-0001 a CD-0016 e l'archivio dei verbali esteso a VT-0016; lo Strato Sesto, della narrazione, costituito dal Registro Integrale V63, custode dell'ordo expositionis per cerchi concentrici, del quale la presente edizione certifica la presenza in perimetro. Ai margini della federazione, quali strati archeologici non normativi, restano conservati i Registri Omnicomprensivi V54 e V58 e la linea versionale pregressa, che nessuna edizione federata riscrive e alle quali si accede per sola consultazione storica. Ogni edizione del Registro Unico Federato è la somma degli strati alla loro edizione corrente più la spina e i dispositivi aggiornati, e la presente è la terza di tale serie.</w:t>
      </w:r>
    </w:p>
    <w:p>
      <w:pPr>
        <w:spacing w:after="120" w:line="276" w:lineRule="auto" w:before="320"/>
        <w:jc w:val="both"/>
      </w:pPr>
      <w:r>
        <w:rPr>
          <w:rFonts w:ascii="Times New Roman" w:hAnsi="Times New Roman" w:cs="Times New Roman" w:eastAsia="Times New Roman"/>
          <w:b/>
          <w:sz w:val="24"/>
        </w:rPr>
        <w:t>Strato di revisione</w:t>
      </w:r>
    </w:p>
    <w:p>
      <w:pPr>
        <w:spacing w:after="0" w:line="276" w:lineRule="auto"/>
        <w:ind w:firstLine="425"/>
        <w:jc w:val="both"/>
      </w:pPr>
      <w:r>
        <w:rPr>
          <w:rFonts w:ascii="Times New Roman" w:hAnsi="Times New Roman" w:cs="Times New Roman" w:eastAsia="Times New Roman"/>
          <w:b w:val="0"/>
          <w:sz w:val="24"/>
        </w:rPr>
        <w:t xml:space="preserve">Giornale della versione sessantaseiesima, due agosto duemilaventisei. La sessione si è aperta con la ritrasmissione integrale della Nota Metodologica da parte dell'autore, con la consegna dell'ordine espositivo in dieci punti e con il mandato di somma. Il ruolo di revisione ha riletto la tavola nelle sue tre giacenze e ha selezionato il programma in sei sezioni, integralmente eseguito. La Sezione Prima ha verificato il perimetro, duecentosettanta file per seicentottantaquattro virgola cinque megabyte, ha certificato la presenza del Registro Integrale V63 chiudendo il limite dichiarato dal Dossier, e ha istituito la tranche delle fonti da FO-0215 a FO-0219 per i cinque blocchi non censiti, con pesi misurati e gradiente dichiarato. La Sezione Seconda ha ricevuto in federazione, in ordine cronologico, gli esiti delle otto sessioni dal ventisette luglio al primo agosto, ai gradi assegnati nelle sedi di origine. La Sezione Terza ha incorporato la spina del Dossier: asserzioni da AS-0023 ad AS-0027 con la corrispondenza alla serie interna dichiarata, verbali da VT-0012 a VT-0016, nodi da ND-0022 a ND-0039. La Sezione Quarta ha iscritto lo statuto dell'ordo expositionis, ricevendo l'ordine dell'autore come scheletro narrativo e riconfermando lo statuto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della macro-ipotesi con i falsificatori attivi. La Sezione Quinta ha riconciliato la memoria operativa, dichiarando quattro voci assorbite e trasferendo in tavola le voci aperte, con l'accertamento nuovo sulla persistenza dell'emenda toponomastica Hyperion nel corpo del Registro Integrale. La Sezione Sesta ha consolidato la tavola in sei gruppi. Nessuna asserzione nuova è stata aggiudicata nella presente edizione: l'edizione è atto di somma, censimento e ricezione, e ogni aggiudicazione futura transiterà per la Camera Istruttoria con verbale.</w:t>
      </w:r>
    </w:p>
    <w:p>
      <w:pPr>
        <w:spacing w:after="0" w:line="276" w:lineRule="auto"/>
        <w:ind w:firstLine="425"/>
        <w:jc w:val="both"/>
      </w:pPr>
      <w:r>
        <w:rPr>
          <w:rFonts w:ascii="Times New Roman" w:hAnsi="Times New Roman" w:cs="Times New Roman" w:eastAsia="Times New Roman"/>
          <w:b w:val="0"/>
          <w:sz w:val="24"/>
        </w:rPr>
        <w:t>Sistema degli identificativi stabili, elenco aggiornato alla presente edizione. Asserzioni: da AS-0001 ad AS-0022 come dalle edizioni precedenti; da AS-0023 ad AS-0027 incorporate dalla spina del Dossier, con corrispondenza dichiarata alla serie interna da ITN-A-cinquantanove a ITN-A-sessantatré. Nodi: da ND-0001 a ND-0021 come dalle edizioni precedenti; da ND-0022 a ND-0039 incorporati dalla spina del Dossier. Condotte: da CD-0001 a CD-0016, mappa invariata, nessuna condotta nuova iscritta. Verbali di transito: da VT-0001 a VT-0011 come dalla seconda edizione; da VT-0012 a VT-0016 incorporati dal Dossier. Segnali diagnostici: invariati, nessuna passata nuova nella presente edizione; la passata sul perimetro allargato è programmata in tavola. Fonti: da FO-0001 a FO-0214 come dalla seconda edizione, comprensive del corpus ALDO; FO-0215, fascicolo del Bureau su Jakovlev in diciannove parti; FO-0216, volumi senatoriali sulle misure attive del duemilasedici; FO-0217, serie BLAZEIV dei processi verbali dell'Ufficio di Presidenza della Commissione della decima legislatura; FO-0218, corpus testuale integrale degli scritti di Aldo Moro; FO-0219, serie della Central Intelligence Agency declassificata sull'Italia con la National Intelligence Estimate del millenovecentocinquantaquattro. Il censimento per singola voce dei cinque blocchi è la tranche successiva dichiarata in tavola.</w:t>
      </w:r>
    </w:p>
    <w:p>
      <w:pPr>
        <w:spacing w:after="120" w:line="276" w:lineRule="auto" w:before="320"/>
        <w:jc w:val="both"/>
      </w:pPr>
      <w:r>
        <w:rPr>
          <w:rFonts w:ascii="Times New Roman" w:hAnsi="Times New Roman" w:cs="Times New Roman" w:eastAsia="Times New Roman"/>
          <w:b/>
          <w:sz w:val="24"/>
        </w:rPr>
        <w:t>Colophon</w:t>
      </w:r>
    </w:p>
    <w:p>
      <w:pPr>
        <w:spacing w:after="0" w:line="276" w:lineRule="auto"/>
        <w:ind w:firstLine="425"/>
        <w:jc w:val="both"/>
      </w:pPr>
      <w:r>
        <w:rPr>
          <w:rFonts w:ascii="Times New Roman" w:hAnsi="Times New Roman" w:cs="Times New Roman" w:eastAsia="Times New Roman"/>
          <w:b w:val="0"/>
          <w:sz w:val="24"/>
        </w:rPr>
        <w:t xml:space="preserve">Il Registro Unico Federato, edizione terza, versione sessantaseiesima dell'opera ITALIA NERA, è promulgato il due agosto duemilaventisei in esecuzione del mandato di somma dell'autore e sotto la costituzione federativa dei Prompt Evoluti V64 e V65: il Metodo codificato in dieci assiomi, i fondamenti esterni della cascata, il Registro D quale Camera Istruttoria, lo standard probatorio Savona due punto uno in dieci componenti con la disciplina sui viventi due punto zero, il vincolo dei tre piani con il divieto inferenziale dal depistaggio al mandato, lo standard genealogico-onomastico, la codifica duale della fonte, il conteggio di indipendenza reale, il lessico calibrato dell'incertezza, le condizioni di falsificazione standardizzate, il marcatore di spoliazione e il Pattern Diciassette della contaminazione. L'edizione verifica il perimetro in duecentosettanta file, certifica il rientro del Registro Integrale V63 nella federazione, censisce cinque blocchi documentali nuovi per oltre un milione e centomila parole con gli identificativi da FO-0215 a FO-0219, riceve la somma di otto sessioni, incorpora la spina del Dossier Moro portando le asserzioni a ventisette, i nodi a trentanove e i verbali a sedici, iscrive lo statuto dell'ordo expositionis con la macro-ipotesi confermata 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riconcilia la memoria operativa e consolida la tavola in sei gruppi.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