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Questa unita' del corpus ITALIA NERA raccoglie la richiesta di verificare, certificare e ampliare l'elenco degli affiliati alla Loggia Propaganda Due che, al momento del rapimento di Aldo Moro, il sedici marzo del millenovecentosettantotto, occupavano i centri di controllo dello Stato. La tesi d'autore e' netta: la quasi totalita' dei vertici dell'apparato di sicurezza italiano - il servizio militare, il servizio civile, il comitato di coordinamento, gli Affari Riservati del Viminale, la Guardia di Finanza, i Carabinieri, la Marina, la Farnesina, la magistratura romana e i grandi organi d'informazione - risultava iscritta alla loggia di Licio Gelli. La verifica e' stata condotta nominativo per nominativo, con gradazione secondo lo statuto, incrociando il corpus gia' acquisito con una ricognizione esterna; l'apparato numerico completo, con le tessere dichiarate e i numeri documentati, e' raccolto nella tavola di servizio a duecentocinquanta blocchi che accompagna questa relazione.</w:t>
      </w:r>
    </w:p>
    <w:p>
      <w:pPr>
        <w:spacing w:line="276" w:lineRule="auto" w:before="0" w:after="0"/>
        <w:ind w:firstLine="425"/>
        <w:jc w:val="both"/>
      </w:pPr>
      <w:r>
        <w:rPr>
          <w:rFonts w:ascii="Times New Roman" w:hAnsi="Times New Roman" w:cs="Times New Roman" w:eastAsia="Times New Roman"/>
          <w:b w:val="0"/>
          <w:sz w:val="24"/>
        </w:rPr>
        <w:t>Il nucleo della tesi risulta corroborato. La riforma dei servizi del millenovecentosettantasette aveva creato tre organismi nuovi, il servizio per le informazioni e la sicurezza militare, quello per la sicurezza democratica e il comitato esecutivo per i servizi di informazione; ebbene, i loro tre vertici erano tutti e tre iscritti alla loggia. Il generale Giuseppe Santovito dirigeva il servizio militare, il generale Giulio Grassini il servizio civile, il prefetto Walter Pelosi il comitato di coordinamento. Il comitato tecnico-operativo istituito al Viminale per la gestione del sequestro, presieduto da Francesco Cossiga, annoverava fra i suoi membri Santovito e Grassini; al comitato per la sicurezza sedeva il comandante generale della Guardia di Finanza, Raffaele Giudice, anch'egli iscritto. Non si tratta di un affiliato isolato, ma della compresenza dei vertici alla cabina di regia della crisi.</w:t>
      </w:r>
    </w:p>
    <w:p>
      <w:pPr>
        <w:spacing w:line="276" w:lineRule="auto" w:before="0" w:after="0"/>
        <w:ind w:firstLine="425"/>
        <w:jc w:val="both"/>
      </w:pPr>
      <w:r>
        <w:rPr>
          <w:rFonts w:ascii="Times New Roman" w:hAnsi="Times New Roman" w:cs="Times New Roman" w:eastAsia="Times New Roman"/>
          <w:b w:val="0"/>
          <w:sz w:val="24"/>
        </w:rPr>
        <w:t>La medesima presenza si ritrova a ogni piano dell'apparato chiamato in causa nei cinquantacinque giorni. Nella Guardia di Finanza accanto a Giudice vi era il capo di stato maggiore Donato Lo Prete; fra i Carabinieri il generale Giuseppe Siracusano, responsabile dei posti di blocco a Roma poi giudicati inefficaci dalla Commissione parlamentare, e il colonnello Antonio Cornacchia, comandante del reparto operativo, che apri' il bagagliaio della automobile in via Caetani. Alla Marina l'ammiraglio Giovanni Torrisi, capo di stato maggiore; alla Farnesina il segretario generale Francesco Malfatti di Montetretto e il capo di gabinetto del ministro degli esteri, Mario Semprini; alla magistratura romana il procuratore generale Carmelo Spagnuolo. E nell'informazione i direttori e i conduttori del gruppo che allora dettava la linea: Franco Di Bella al Corriere della Sera, Gustavo Selva ai giornali radio, Maurizio Costanzo in televisione, e il direttore di un'agenzia riservata, Mino Pecorelli. La saturazione dell'apparato, dominio per dominio, e' documentata.</w:t>
      </w:r>
    </w:p>
    <w:p>
      <w:pPr>
        <w:spacing w:line="276" w:lineRule="auto" w:before="0" w:after="0"/>
        <w:ind w:firstLine="425"/>
        <w:jc w:val="both"/>
      </w:pPr>
      <w:r>
        <w:rPr>
          <w:rFonts w:ascii="Times New Roman" w:hAnsi="Times New Roman" w:cs="Times New Roman" w:eastAsia="Times New Roman"/>
          <w:b w:val="0"/>
          <w:sz w:val="24"/>
        </w:rPr>
        <w:t>Il primo esito della verifica riguarda i numeri, ed e' un esito di metodo. Nel materiale della loggia convivono due numerazioni distinte: il numero di fascicolo, proprio dello schedario interno di Gelli, e il numero di tessera. Il corpus lo aveva gia' avvertito nella sua prescrizione: la numerazione per tessera resta non documentata dall'elenco alfabetico sequestrato a Castiglion Fibocchi, e ogni riferimento a essa esige una fonte specifica e distinta. La prova piu' limpida della differenza sta in un solo iscritto celebre, per il quale le fonti registrano una tessera di poco superiore al migliaio e ottocento ma un fascicolo di poco superiore al seicento: due numeri diversi per la stessa persona. La lista d'autore usa i numeri di tessera; l'elenco del corpus usa i numeri di fascicolo, che non superano il novecentosessantadue. Molte apparenti divergenze fra i due si dissolvono appena si riconosce che si tratta di due sistemi paralleli, non della stessa scala.</w:t>
      </w:r>
    </w:p>
    <w:p>
      <w:pPr>
        <w:spacing w:line="276" w:lineRule="auto" w:before="0" w:after="0"/>
        <w:ind w:firstLine="425"/>
        <w:jc w:val="both"/>
      </w:pPr>
      <w:r>
        <w:rPr>
          <w:rFonts w:ascii="Times New Roman" w:hAnsi="Times New Roman" w:cs="Times New Roman" w:eastAsia="Times New Roman"/>
          <w:b w:val="0"/>
          <w:sz w:val="24"/>
        </w:rPr>
        <w:t>Su questa base la certificazione dei singoli numeri ha dato risultati precisi, che e' onesto enunciare distinguendo il confermato dal corretto. Collimano con il dato d'autore, e sono percio' confermate, le tessere di Lo Prete, di Federico Umberto D'Amato, capo degli Affari Riservati, di Mario Semprini, di Maurizio Costanzo e di Franco Di Bella. Vanno invece corrette quattro attribuzioni: la tessera che l'autore assegna a Santovito appartiene in realta' all'ufficiale amministrativo Mario Salacone, e viceversa, sicche' i due numeri risultano scambiati; il numero di Umberto Ortolani e quello di Gustavo Selva, quali riportati dall'autore, non collimano con quelli documentati. Le restanti tessere, non riscontrabili in questa sede sull'elenco originale, restano dichiarazioni d'autore da verificare su fonte primaria: e' una pendenza, non una smentita.</w:t>
      </w:r>
    </w:p>
    <w:p>
      <w:pPr>
        <w:spacing w:line="276" w:lineRule="auto" w:before="0" w:after="0"/>
        <w:ind w:firstLine="425"/>
        <w:jc w:val="both"/>
      </w:pPr>
      <w:r>
        <w:rPr>
          <w:rFonts w:ascii="Times New Roman" w:hAnsi="Times New Roman" w:cs="Times New Roman" w:eastAsia="Times New Roman"/>
          <w:b w:val="0"/>
          <w:sz w:val="24"/>
        </w:rPr>
        <w:t>Il secondo esito riguarda l'ampliamento richiesto, e qui la disciplina impone una distinzione netta fra cio' che si puo' certificare e cio' che non si puo'. Chi avesse la tessera immediatamente precedente e successiva a un dato affiliato non e' determinabile: non esiste, in alcuna fonte pubblica, un elenco della loggia ordinato per numero di tessera; gli elenchi autorevoli sono tutti alfabetici, i numeri di tessera vi compaiono solo per singola persona e mai come sequenza, e per giunta gli elenchi sono notoriamente incompleti. L'adiacenza di tessera e' dunque, allo stato, non certificabile: un risultato negativo, che qui si registra come tale. Ma l'ampliamento e' possibile nell'altro sistema, quello dei fascicoli, dove il corpus offre una prova diretta.</w:t>
      </w:r>
    </w:p>
    <w:p>
      <w:pPr>
        <w:spacing w:line="276" w:lineRule="auto" w:before="0" w:after="0"/>
        <w:ind w:firstLine="425"/>
        <w:jc w:val="both"/>
      </w:pPr>
      <w:r>
        <w:rPr>
          <w:rFonts w:ascii="Times New Roman" w:hAnsi="Times New Roman" w:cs="Times New Roman" w:eastAsia="Times New Roman"/>
          <w:b w:val="0"/>
          <w:sz w:val="24"/>
        </w:rPr>
        <w:t>Il corpus dimostra infatti che i fascicoli degli uomini dell'apparato di sicurezza non sono sparsi nell'elenco, bensi' addensati in una fascia ristretta: un blocco di registrazione settoriale, segno di un arruolamento concentrato nel tempo. In quella fascia, accanto ai nomi gia' noti, compaiono per adiacenza sei affiliati che la lista d'autore non contemplava, e che costituiscono percio' l'ampliamento certificato: il generale Gianadelio Maletti e il capitano Antonio La Bruna, uomini del vecchio servizio militare condannati per la vicenda di piazza Fontana; il generale Giovanni Allavena, ultimo direttore del servizio delle forze armate, cui si attribuisce il travaso dei fascicoli riservati verso l'archivio di Gelli; l'editore Angelo Rizzoli e il direttore generale Bruno Tassan Din, che con la loggia controllarono il gruppo del Corriere; e il generale Romolo dalla Chiesa. Su quest'ultimo va detto con chiarezza, per non ingenerare equivoci, che si tratta del fratello del generale Carlo Alberto dalla Chiesa, e che era Romolo a figurare nell'elenco, mentre Carlo Alberto la loggia la combatteva.</w:t>
      </w:r>
    </w:p>
    <w:p>
      <w:pPr>
        <w:spacing w:line="276" w:lineRule="auto" w:before="0" w:after="0"/>
        <w:ind w:firstLine="425"/>
        <w:jc w:val="both"/>
      </w:pPr>
      <w:r>
        <w:rPr>
          <w:rFonts w:ascii="Times New Roman" w:hAnsi="Times New Roman" w:cs="Times New Roman" w:eastAsia="Times New Roman"/>
          <w:b w:val="0"/>
          <w:sz w:val="24"/>
        </w:rPr>
        <w:t>Il terzo esito e' il piu' delicato, e conferma il valore della verifica: due nomi della lista d'autore vanno espunti, perche' non erano affiliati alla loggia. Il colonnello Antonio Varisco non era un piduista, bensi' un investigatore della loggia: delegato dal giudice Vittorio Occorsio a indagare su una riunione massonica, si spinse a indagare gli stessi vertici dei servizi, e fu ucciso dalle Brigate rosse il tredici luglio del millenovecentosettantanove, due giorni dopo l'assassinio del liquidatore Ambrosoli; e il corpus stesso, indipendentemente, notava che il suo nome non risultava nell'estrazione dell'elenco. Il magistrato Achille Gallucci, a sua volta, non compare fra gli iscritti: fu il procuratore di Roma che la Commissione Anselmi critico' per aver rappresentato la loggia come cosa di scarsa pericolosita', dunque un magistrato che l'inchiesta la depotenzio', non un affiliato. Attribuire a costoro l'appartenenza sarebbe infondato: espungerli non indebolisce la tesi, la irrobustisce.</w:t>
      </w:r>
    </w:p>
    <w:p>
      <w:pPr>
        <w:spacing w:line="276" w:lineRule="auto" w:before="0" w:after="0"/>
        <w:ind w:firstLine="425"/>
        <w:jc w:val="both"/>
      </w:pPr>
      <w:r>
        <w:rPr>
          <w:rFonts w:ascii="Times New Roman" w:hAnsi="Times New Roman" w:cs="Times New Roman" w:eastAsia="Times New Roman"/>
          <w:b w:val="0"/>
          <w:sz w:val="24"/>
        </w:rPr>
        <w:t>Alla stessa disciplina rispondono i casi che restano incerti, che vanno segnalati senza forzature. Per il colonnello Camillo Guglielmi, la cui presenza nei pressi di via Fani la mattina dell'agguato e' ammessa ma il cui coinvolgimento non e' provato, e per il colonnello Stefano Giovannone, uomo di fiducia di Moro e garante del cosiddetto lodo con le organizzazioni palestinesi, l'appartenenza alla loggia non e' confermata dalle fonti reperite; per un terzo ufficiale del servizio militare l'identita' stessa e il ruolo non hanno trovato riscontro, e vanno riaperti su fonte primaria. Va inoltre corretta una sovrapposizione: il ruolo giornalistico attribuito a un affiliato di nome Di Donato appartiene in realta' a uno scrittore omonimo, estraneo alla loggia. Presenza in un elenco non equivale ad appartenenza provata, come mostra il caso del colonnello Cornacchia, che si disse iscritto a sua insaputa e fu prosciolto.</w:t>
      </w:r>
    </w:p>
    <w:p>
      <w:pPr>
        <w:spacing w:line="276" w:lineRule="auto" w:before="0" w:after="0"/>
        <w:ind w:firstLine="425"/>
        <w:jc w:val="both"/>
      </w:pPr>
      <w:r>
        <w:rPr>
          <w:rFonts w:ascii="Times New Roman" w:hAnsi="Times New Roman" w:cs="Times New Roman" w:eastAsia="Times New Roman"/>
          <w:b w:val="0"/>
          <w:sz w:val="24"/>
        </w:rPr>
        <w:t>Restano da collocare, secondo lo statuto, i ruoli nella vicenda del sequestro, dove piu' forte e' la tentazione di dedurre oltre le prove. E' documentato che il servizio militare fornì una falsa localizzazione del prigioniero sull'Aurelia, che la prima ispezione del covo di via Gradoli fu superficiale, che i posti di blocco furono inefficaci, che il criminologo consulente del Viminale, iscritto alla loggia, lesse le lettere del prigioniero in chiave di condizionamento psicologico, e che i grandi organi d'informazione controllati dalla loggia si schierarono per la linea della fermezza e per la delegittimazione di quelle lettere. Ma nessuna sentenza ha accertato che la loggia, come organizzazione, abbia diretto il sequestro. Vale qui la distinzione che percorre tutto il corpus: e' certificata la convergenza di milieu, ossia la saturazione piduista dei centri di controllo attivi nei cinquantacinque giorni; non e' provata una catena di comando unica. La convergenza e' un dato, la regia una tesi.</w:t>
      </w:r>
    </w:p>
    <w:p>
      <w:pPr>
        <w:spacing w:line="276" w:lineRule="auto" w:before="0" w:after="0"/>
        <w:ind w:firstLine="425"/>
        <w:jc w:val="both"/>
      </w:pPr>
      <w:r>
        <w:rPr>
          <w:rFonts w:ascii="Times New Roman" w:hAnsi="Times New Roman" w:cs="Times New Roman" w:eastAsia="Times New Roman"/>
          <w:b w:val="0"/>
          <w:sz w:val="24"/>
        </w:rPr>
        <w:t>La cifra ultima di questa unita' e' che l'apparato dei cinquantacinque giorni non e' un fronte separato, ma lo stesso volto che il corpus ha gia' incontrato altrove: gli uomini che qui occupano i servizi e la finanza - Santovito, Musumeci, Sindona, Calvi, Ortolani - sono i medesimi del quadrilatero della loggia, del Vaticano e della finanza trattato alla voce sessantaquattro, e del caso Cirillo trattato alla voce sessantasei, dove ancora i vertici del servizio militare che condussero la trattativa erano uomini della loggia; e Pietro Musumeci, condannato per il depistaggio della strage di Bologna, lega l'apparato Moro alla stagione stragista gia' ricondotta a Gelli alla voce quarantotto. Una sola loggia, piu' fronti. La verifica richiesta e' stata eseguita nominativo per nominativo, la certificazione graduata secondo lo statuto, l'ampliamento realizzato nel sistema dei fascicoli e una storia scritta per ciascun affiliato; il vincolo sulle fonti e' stato rispettato in ogni riga,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corpus/opera/ITALIA_NERA_ELENCO_P2_FASCICOLI_VERIFICATO_V61.docx (elenco di Castiglion Fibocchi, ordine per fascicolo; Quarta Prescrizione sulla numerazione per tessera)</w:t>
      </w:r>
    </w:p>
    <w:p>
      <w:pPr>
        <w:spacing w:line="276" w:lineRule="auto" w:before="0" w:after="0"/>
        <w:ind w:firstLine="425"/>
        <w:jc w:val="both"/>
      </w:pPr>
      <w:r>
        <w:rPr>
          <w:rFonts w:ascii="Times New Roman" w:hAnsi="Times New Roman" w:cs="Times New Roman" w:eastAsia="Times New Roman"/>
          <w:b w:val="0"/>
          <w:sz w:val="24"/>
        </w:rPr>
        <w:t>corpus/opera/nodi/D04/ITALIA_NERA_NODO_D04_LICIO_GELLI_2AGO2026.docx; D03 Vito Miceli; D06 Sindona e Calvi; D08 Pecorelli; D10 Spagnuolo (nodi grado A)</w:t>
      </w:r>
    </w:p>
    <w:p>
      <w:pPr>
        <w:spacing w:line="276" w:lineRule="auto" w:before="0" w:after="0"/>
        <w:ind w:firstLine="425"/>
        <w:jc w:val="both"/>
      </w:pPr>
      <w:r>
        <w:rPr>
          <w:rFonts w:ascii="Times New Roman" w:hAnsi="Times New Roman" w:cs="Times New Roman" w:eastAsia="Times New Roman"/>
          <w:b w:val="0"/>
          <w:sz w:val="24"/>
        </w:rPr>
        <w:t>corpus/diagnostica/ITALIA_NERA_TRIANGOLAZIONE_P2_VATICANO_FINANZA.docx (voce 64) e ITALIA_NERA_TRIANGOLAZIONE_CASO_CIRILLO.docx (voce 66)</w:t>
      </w:r>
    </w:p>
    <w:p>
      <w:pPr>
        <w:spacing w:line="276" w:lineRule="auto" w:before="0" w:after="0"/>
        <w:ind w:firstLine="425"/>
        <w:jc w:val="both"/>
      </w:pPr>
      <w:r>
        <w:rPr>
          <w:rFonts w:ascii="Times New Roman" w:hAnsi="Times New Roman" w:cs="Times New Roman" w:eastAsia="Times New Roman"/>
          <w:b w:val="0"/>
          <w:sz w:val="24"/>
        </w:rPr>
        <w:t>Atti citati: Commissione Anselmi (1984), Commissione Moro (2014-2017), Processo Moro-quater, sentenze sui depistaggi della strage di Bologna</w:t>
      </w:r>
    </w:p>
    <w:p>
      <w:pPr>
        <w:spacing w:line="276" w:lineRule="auto" w:before="0" w:after="0"/>
        <w:ind w:firstLine="425"/>
        <w:jc w:val="both"/>
      </w:pPr>
      <w:r>
        <w:rPr>
          <w:rFonts w:ascii="Times New Roman" w:hAnsi="Times New Roman" w:cs="Times New Roman" w:eastAsia="Times New Roman"/>
          <w:b w:val="0"/>
          <w:sz w:val="24"/>
        </w:rPr>
        <w:t>Ricognizione esterna gradata (parlamentare/storiografica/stampa di qualita' = B; enciclopedia collaborativa/blog = C), con vincolo di non uso di Grokipedia e del quotidiano il manifesto</w:t>
      </w:r>
    </w:p>
    <w:p>
      <w:pPr>
        <w:spacing w:line="276" w:lineRule="auto" w:before="0" w:after="0"/>
        <w:ind w:firstLine="425"/>
        <w:jc w:val="both"/>
      </w:pPr>
      <w:r>
        <w:rPr>
          <w:rFonts w:ascii="Times New Roman" w:hAnsi="Times New Roman" w:cs="Times New Roman" w:eastAsia="Times New Roman"/>
          <w:b w:val="0"/>
          <w:sz w:val="24"/>
        </w:rPr>
        <w:t>repertorio/ITALIA_NERA_P2_APPARATO_MORO_250_BLOCCHI.xlsx (i 250 blocchi di verifica, il foglio Biografie, le Divergenze tessera e gli Intorni di fascicolo)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