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approfondimento porta il fronte della guerra cognitiva dentro i confini dell'opera, in Italia. Ciò che sul piano internazionale si è visto come apparato di disinformazione trova qui i suoi bersagli e i suoi terminali, e si accompagna a un secondo fronte, quello dell'influenza politica diretta, che è il capitolo italiano più clamoroso dell'interferenza straniera recente. I due fronti — la propaganda e il denaro — sono le due facce dello stesso sforzo, e l'opera li legge in continuità con la lunga stagione degli apparati e delle ingerenze che ne costituisce la materia. La disciplina probatoria resta ferma, con una cautela particolare là dove i fatti riguardano persone indagate ma non condannate. Il lavoro è del sei agosto duemilaventisei.</w:t>
      </w:r>
    </w:p>
    <w:p>
      <w:pPr>
        <w:spacing w:line="276" w:lineRule="auto" w:before="0" w:after="0"/>
        <w:ind w:firstLine="425"/>
        <w:jc w:val="both"/>
      </w:pPr>
      <w:r>
        <w:rPr>
          <w:rFonts w:ascii="Times New Roman" w:hAnsi="Times New Roman" w:cs="Times New Roman" w:eastAsia="Times New Roman"/>
          <w:b/>
          <w:sz w:val="24"/>
        </w:rPr>
        <w:t>Il primo fronte: la disinformazione che cloni le testate.</w:t>
      </w:r>
      <w:r>
        <w:rPr>
          <w:rFonts w:ascii="Times New Roman" w:hAnsi="Times New Roman" w:cs="Times New Roman" w:eastAsia="Times New Roman"/>
          <w:b w:val="0"/>
          <w:sz w:val="24"/>
        </w:rPr>
        <w:t xml:space="preserve"> La campagna dei siti-clone, attiva dalla primavera del duemilaventidue, ha colpito anche l'Italia: fra le testate impersonate con siti falsi figura l'agenzia di stampa nazionale, accanto a grandi giornali europei e statunitensi, per un totale di almeno diciassette testate contraffatte </w:t>
      </w:r>
      <w:r>
        <w:rPr>
          <w:rFonts w:ascii="Times New Roman" w:hAnsi="Times New Roman" w:cs="Times New Roman" w:eastAsia="Times New Roman"/>
          <w:b/>
          <w:sz w:val="24"/>
        </w:rPr>
        <w:t>(Livello A, secondo gli osservatori specializzati)</w:t>
      </w:r>
      <w:r>
        <w:rPr>
          <w:rFonts w:ascii="Times New Roman" w:hAnsi="Times New Roman" w:cs="Times New Roman" w:eastAsia="Times New Roman"/>
          <w:b w:val="0"/>
          <w:sz w:val="24"/>
        </w:rPr>
        <w:t xml:space="preserve">. Non è un bersaglio occasionale: secondo la Commissione europea l'Italia compare più volte come ambiente direttamente preso di mira, attraverso i tre grappoli convergenti dei siti-clone, della rete che punta a inquinare i modelli linguistici e delle piattaforme social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 narrazioni sono quelle già note — l'Ucraina dipinta come Stato corrotto e «nazista», la negazione del massacro di Bucha, l'allarmismo che promette agli italiani la rovina per via delle sanzioni —, qui calibrate sul pubblico nazionale </w:t>
      </w:r>
      <w:r>
        <w:rPr>
          <w:rFonts w:ascii="Times New Roman" w:hAnsi="Times New Roman" w:cs="Times New Roman" w:eastAsia="Times New Roman"/>
          <w:b/>
          <w:sz w:val="24"/>
        </w:rPr>
        <w:t>(Livello A come contenuti documentati)</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Il secondo fronte: il denaro e la politica, l'affare del Metropol.</w:t>
      </w:r>
      <w:r>
        <w:rPr>
          <w:rFonts w:ascii="Times New Roman" w:hAnsi="Times New Roman" w:cs="Times New Roman" w:eastAsia="Times New Roman"/>
          <w:b w:val="0"/>
          <w:sz w:val="24"/>
        </w:rPr>
        <w:t xml:space="preserve"> Accanto alla propaganda corre l'influenza politica diretta, e il suo episodio simbolo è l'incontro avvenuto il diciotto ottobre del duemiladiciotto all'hotel Metropol di Mosca. Attorno a un tavolo sei uomini — tre italiani e tre russi — discussero uno schema di finte transazioni sul petrolio congegnato per far arrivare decine di milioni di euro alle casse d'un partito italiano in vista delle elezioni europee dell'anno seguente </w:t>
      </w:r>
      <w:r>
        <w:rPr>
          <w:rFonts w:ascii="Times New Roman" w:hAnsi="Times New Roman" w:cs="Times New Roman" w:eastAsia="Times New Roman"/>
          <w:b/>
          <w:sz w:val="24"/>
        </w:rPr>
        <w:t>(Livello A quanto all'esistenza e al contenuto della negoziazione)</w:t>
      </w:r>
      <w:r>
        <w:rPr>
          <w:rFonts w:ascii="Times New Roman" w:hAnsi="Times New Roman" w:cs="Times New Roman" w:eastAsia="Times New Roman"/>
          <w:b w:val="0"/>
          <w:sz w:val="24"/>
        </w:rPr>
        <w:t xml:space="preserve">. Fra i presenti c'era Gianluca Savoini, stretto collaboratore del vicepremier d'allora e presidente dell'associazione filo-russa che aveva siglato un accordo di cooperazione col partito del presidente russo. La vicenda emerse grazie alla registrazione audio dell'incontro, resa pubblica da un'inchiesta giornalistica che identificò anche le voci russe presenti </w:t>
      </w:r>
      <w:r>
        <w:rPr>
          <w:rFonts w:ascii="Times New Roman" w:hAnsi="Times New Roman" w:cs="Times New Roman" w:eastAsia="Times New Roman"/>
          <w:b/>
          <w:sz w:val="24"/>
        </w:rPr>
        <w:t>(Livello A come fonte dell'evidenza)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La cautela, che qui è decisiva.</w:t>
      </w:r>
      <w:r>
        <w:rPr>
          <w:rFonts w:ascii="Times New Roman" w:hAnsi="Times New Roman" w:cs="Times New Roman" w:eastAsia="Times New Roman"/>
          <w:b w:val="0"/>
          <w:sz w:val="24"/>
        </w:rPr>
        <w:t xml:space="preserve"> Su questo secondo fronte il metodo dell'opera impone una distinzione netta, perché si parla di persone viventi e indagate. È documentato che l'incontro avvenne, che Savoini vi era presente e che vi si negoziò lo schema; ed è documentata l'indagine per corruzione internazionale aperta dalla procura di Milano a partire dal febbraio del duemiladiciannove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Ma l'affare non risulta essersi consumato — non è provato che il denaro sia mai passato —, Savoini è un indagato e non un condannato, e il politico di vertice non fu imputato e negò ogni coinvolgimento. La negoziazione registrata è un fatto; il reato compiuto è un'altra cosa, e non va dichiarato </w:t>
      </w:r>
      <w:r>
        <w:rPr>
          <w:rFonts w:ascii="Times New Roman" w:hAnsi="Times New Roman" w:cs="Times New Roman" w:eastAsia="Times New Roman"/>
          <w:b/>
          <w:sz w:val="24"/>
        </w:rPr>
        <w:t>(cautela di grado A: si distingue l'accertato dall'ipotizzato)</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La saldatura col corpus.</w:t>
      </w:r>
      <w:r>
        <w:rPr>
          <w:rFonts w:ascii="Times New Roman" w:hAnsi="Times New Roman" w:cs="Times New Roman" w:eastAsia="Times New Roman"/>
          <w:b w:val="0"/>
          <w:sz w:val="24"/>
        </w:rPr>
        <w:t xml:space="preserve"> Con questo nodo la lunga catena russa costruita nella sessione — dalla banca-Internet caraibica ai media di Kovalchuk, dall'apparato di disinformazione alla sua proiezione — atterra finalmente in Italia, che è il centro dell'opera. E si salda a ciò che il registro-madre già conteneva: fra i candidati emersi dalla scansione lessicale figuravano proprio Gianluca Savoini, l'hotel Metropol di Mosca e la sigla elettorale coinvolta, accanto all'etichetta della cosiddetta gladio rossa. La triangolazione qui compiuta — con gli atti dell'inchiesta, la registrazione e i rapporti degli osservatori europei — promuove quei candidati da presenza testuale a nodo documentato </w:t>
      </w:r>
      <w:r>
        <w:rPr>
          <w:rFonts w:ascii="Times New Roman" w:hAnsi="Times New Roman" w:cs="Times New Roman" w:eastAsia="Times New Roman"/>
          <w:b/>
          <w:sz w:val="24"/>
        </w:rPr>
        <w:t>(promozione di grado, coerente col registro-madre)</w:t>
      </w:r>
      <w:r>
        <w:rPr>
          <w:rFonts w:ascii="Times New Roman" w:hAnsi="Times New Roman" w:cs="Times New Roman" w:eastAsia="Times New Roman"/>
          <w:b w:val="0"/>
          <w:sz w:val="24"/>
        </w:rPr>
        <w:t>. È il capitolo contemporaneo dell'interferenza straniera nella politica italiana, che l'opera legge come l'ultima forma d'una vicenda antica.</w:t>
      </w:r>
    </w:p>
    <w:p>
      <w:pPr>
        <w:spacing w:line="276" w:lineRule="auto" w:before="0" w:after="0"/>
        <w:ind w:firstLine="425"/>
        <w:jc w:val="both"/>
      </w:pPr>
      <w:r>
        <w:rPr>
          <w:rFonts w:ascii="Times New Roman" w:hAnsi="Times New Roman" w:cs="Times New Roman" w:eastAsia="Times New Roman"/>
          <w:b/>
          <w:sz w:val="24"/>
        </w:rPr>
        <w:t>Verdetto.</w:t>
      </w:r>
      <w:r>
        <w:rPr>
          <w:rFonts w:ascii="Times New Roman" w:hAnsi="Times New Roman" w:cs="Times New Roman" w:eastAsia="Times New Roman"/>
          <w:b w:val="0"/>
          <w:sz w:val="24"/>
        </w:rPr>
        <w:t xml:space="preserve"> L'approfondimento nodizza nove nodi e otto archi della minaccia ibrida russa in Italia, sui due fronti convergenti della disinformazione e dell'influenza politica, depositati nel foglio di servizio allegato con i loro gradi. Lo statuto è rispettato con cura: i siti-clone e il bersagliamento dell'Italia, l'esistenza e il contenuto dell'audio del Metropol, la presenza di Savoini, l'accordo fra l'associazione e il partito russo e l'indagine di Milano sono al grado pieno; ma l'affare non consumato, la condizione di indagato e non condannato e l'estraneità dichiarata del vertice politico vanno tenuti fermi come tali. Se ne certifica l'approfondimento con questo esito. È la tredicesima voce d'integrazione della sessione, e riporta a casa, in Italia, l'intera catena russa costruita in questi lavori.</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EU DisinfoLab — «Doppelganger: media clones serving Russian propaganda» (ANSA, The Guardian, Bild, Le Monde, ecc.) — https://www.disinfo.eu/doppelganger</w:t>
      </w:r>
    </w:p>
    <w:p>
      <w:pPr>
        <w:spacing w:line="276" w:lineRule="auto" w:before="0" w:after="0"/>
        <w:ind w:firstLine="425"/>
        <w:jc w:val="both"/>
      </w:pPr>
      <w:r>
        <w:rPr>
          <w:rFonts w:ascii="Times New Roman" w:hAnsi="Times New Roman" w:cs="Times New Roman" w:eastAsia="Times New Roman"/>
          <w:b w:val="0"/>
          <w:sz w:val="24"/>
        </w:rPr>
        <w:t>EU DisinfoLab — «Disinfo landscape in Italy» (fattsheet, 2025) — https://www.disinfo.eu/wp-content/uploads/2025/12/20251215_Disinfo-landscape-in-Italy-V2.pdf</w:t>
      </w:r>
    </w:p>
    <w:p>
      <w:pPr>
        <w:spacing w:line="276" w:lineRule="auto" w:before="0" w:after="0"/>
        <w:ind w:firstLine="425"/>
        <w:jc w:val="both"/>
      </w:pPr>
      <w:r>
        <w:rPr>
          <w:rFonts w:ascii="Times New Roman" w:hAnsi="Times New Roman" w:cs="Times New Roman" w:eastAsia="Times New Roman"/>
          <w:b w:val="0"/>
          <w:sz w:val="24"/>
        </w:rPr>
        <w:t>Bellingcat — «Commuting to Moscow: Lega Nord's Pilgrimage to Russia» — https://www.bellingcat.com/news/2019/08/08/commuting-to-moscow-lega-nords-pilgrimage-to-russia/</w:t>
      </w:r>
    </w:p>
    <w:p>
      <w:pPr>
        <w:spacing w:line="276" w:lineRule="auto" w:before="0" w:after="0"/>
        <w:ind w:firstLine="425"/>
        <w:jc w:val="both"/>
      </w:pPr>
      <w:r>
        <w:rPr>
          <w:rFonts w:ascii="Times New Roman" w:hAnsi="Times New Roman" w:cs="Times New Roman" w:eastAsia="Times New Roman"/>
          <w:b w:val="0"/>
          <w:sz w:val="24"/>
        </w:rPr>
        <w:t>BuzzFeed News — audio dell'incontro del Metropol (Savoini; schema petrolifero) — https://www.buzzfeednews.com/article/albertonardelli/salvini-russia-oil-deal-secret-recording</w:t>
      </w:r>
    </w:p>
    <w:p>
      <w:pPr>
        <w:spacing w:line="276" w:lineRule="auto" w:before="0" w:after="0"/>
        <w:ind w:firstLine="425"/>
        <w:jc w:val="both"/>
      </w:pPr>
      <w:r>
        <w:rPr>
          <w:rFonts w:ascii="Times New Roman" w:hAnsi="Times New Roman" w:cs="Times New Roman" w:eastAsia="Times New Roman"/>
          <w:b w:val="0"/>
          <w:sz w:val="24"/>
        </w:rPr>
        <w:t>CSIS — «Kremlin Playbook Spotlight: Italian Political Financing and Russian Oil» — https://www.csis.org/blogs/kremlin-playbook-spotlight/kremlin-playbook-spotlight-italian-political-financing-and-russian</w:t>
      </w:r>
    </w:p>
    <w:p>
      <w:pPr>
        <w:spacing w:line="276" w:lineRule="auto" w:before="0" w:after="0"/>
        <w:ind w:firstLine="425"/>
        <w:jc w:val="both"/>
      </w:pPr>
      <w:r>
        <w:rPr>
          <w:rFonts w:ascii="Times New Roman" w:hAnsi="Times New Roman" w:cs="Times New Roman" w:eastAsia="Times New Roman"/>
          <w:b w:val="0"/>
          <w:sz w:val="24"/>
        </w:rPr>
        <w:t>Gianluca Savoini (Associazione Lombardia-Russia; indagine di Milano) — https://it.wikipedia.org/wiki/Gianluca_Savoini</w:t>
      </w:r>
    </w:p>
    <w:p>
      <w:pPr>
        <w:spacing w:line="276" w:lineRule="auto" w:before="0" w:after="0"/>
        <w:ind w:firstLine="425"/>
        <w:jc w:val="both"/>
      </w:pPr>
      <w:r>
        <w:rPr>
          <w:rFonts w:ascii="Times New Roman" w:hAnsi="Times New Roman" w:cs="Times New Roman" w:eastAsia="Times New Roman"/>
          <w:b w:val="0"/>
          <w:sz w:val="24"/>
        </w:rPr>
        <w:t>Incrocio interno al corpus: fronte D8 della guerra cognitiva (sessione); registro-madre (candidati della scansione: Gianluca Savoini, Metropol Mosca, Salvini Premier, Gladio Rossa) — corpus/opera/</w:t>
      </w:r>
    </w:p>
    <w:p>
      <w:pPr>
        <w:spacing w:line="276" w:lineRule="auto" w:before="0" w:after="0"/>
        <w:ind w:firstLine="425"/>
        <w:jc w:val="both"/>
      </w:pPr>
      <w:r>
        <w:rPr>
          <w:rFonts w:ascii="Times New Roman" w:hAnsi="Times New Roman" w:cs="Times New Roman" w:eastAsia="Times New Roman"/>
          <w:b w:val="0"/>
          <w:sz w:val="24"/>
        </w:rPr>
        <w:t>Registro di servizio allegato: repertorio/ITALIA_NERA_MINACCIA_IBRIDA_RUSSA_IN_ITALIA.xlsx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