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Tre delle sedi accertate pongono condizioni d'ingresso che non si deducono dai loro regolamenti generali e vanno risolte prima di programmare qualunque viaggio: la reciprocità richiesta dall'istituto polacco, la lettera commendatizia e la scadenza annuale del dicastero dottrinale vaticano, e il regime a contingentamento con chiusura prolungata dell'archivio storico diplomatico italiano. Questa scheda accerta lo stato corrente di ciascuna delle tre alla data del sei agosto duemilaventisei, così che la pianificazione muova da un dato verificato e non da un'aspettativa.</w:t>
      </w:r>
    </w:p>
    <w:p>
      <w:pPr>
        <w:spacing w:line="276" w:lineRule="auto" w:before="0" w:after="0"/>
        <w:ind w:firstLine="425"/>
        <w:jc w:val="both"/>
      </w:pPr>
      <w:r>
        <w:rPr>
          <w:rFonts w:ascii="Times New Roman" w:hAnsi="Times New Roman" w:cs="Times New Roman" w:eastAsia="Times New Roman"/>
          <w:b/>
          <w:sz w:val="24"/>
        </w:rPr>
        <w:t>Istituto polacco della memoria nazionale (Varsavia).</w:t>
      </w:r>
      <w:r>
        <w:rPr>
          <w:rFonts w:ascii="Times New Roman" w:hAnsi="Times New Roman" w:cs="Times New Roman" w:eastAsia="Times New Roman"/>
          <w:b w:val="0"/>
          <w:sz w:val="24"/>
        </w:rPr>
        <w:t xml:space="preserve"> La legge istitutiva subordina l'accesso degli stranieri alla condizione di reciprocità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l'istituto concede al ricercatore straniero ciò che il suo Paese concederebbe a un ricercatore polacco. Poiché il sistema archivistico italiano è aperto agli studiosi stranieri alle medesime condizioni dei nazionali, la reciprocità per un ricercatore italiano è in linea di principio soddisfatta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via d'ingresso concreta resta quella ordinaria: possono chiedere l'accesso ai fondi i ricercatori delle discipline umanistiche, sociali, economiche o giuridiche, oppure chi porti una lettera di presentazione di un ricercatore di quelle discipline, e prima della consultazione va sottoscritta la dichiarazione d'uso dei materiali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documentazione puntuale con cui l'istituto verifica in concreto la reciprocità per un italiano non è codificata nelle fonti pubbliche e va confermata direttamente con l'ufficio per le domande dall'estero prima della partenza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è l'unico nodo che resta aperto, e si scioglie con una richiesta scritta preventiva.</w:t>
      </w:r>
    </w:p>
    <w:p>
      <w:pPr>
        <w:spacing w:line="276" w:lineRule="auto" w:before="0" w:after="0"/>
        <w:ind w:firstLine="425"/>
        <w:jc w:val="both"/>
      </w:pPr>
      <w:r>
        <w:rPr>
          <w:rFonts w:ascii="Times New Roman" w:hAnsi="Times New Roman" w:cs="Times New Roman" w:eastAsia="Times New Roman"/>
          <w:b/>
          <w:sz w:val="24"/>
        </w:rPr>
        <w:t>Archivio del Dicastero per la Dottrina della Fede (Città del Vaticano).</w:t>
      </w:r>
      <w:r>
        <w:rPr>
          <w:rFonts w:ascii="Times New Roman" w:hAnsi="Times New Roman" w:cs="Times New Roman" w:eastAsia="Times New Roman"/>
          <w:b w:val="0"/>
          <w:sz w:val="24"/>
        </w:rPr>
        <w:t xml:space="preserve"> La procedura corrente è accertata e stabile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L'accesso si ottiene con una domanda d'ammissione che specifichi il tema e le ragioni della ricerca, rechi i dati personali del richiedente e sia corredata di una lettera commendatizia di un'autorità ecclesiastica o accademica, cioè di persona qualificata nella ricerca storica o di professore ordinario d'università; è richiesto il possesso di una laurea magistrale quinquennale o titolo estero equivalente, mentre per i chierici basta il baccalaureato. La domanda si indirizza alla sede dell'archivio in Piazza del Sant'Uffizio a Roma. Due vincoli temporali governano la programmazione: ogni permesso di ricerca scade con la chiusura annuale dell'archivio, che cade il quindici luglio, sicché conviene presentare la domanda con largo anticipo e mettere in conto il rinnovo di anno in anno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la consultazione è ammessa fino al termine del pontificato di Pio Dodicesimo, cioè fino al nove ottobre millenovecentocinquantotto e non oltre, limite che va dichiarato accanto a ogni rinvio, giacché esclude gli anni sui quali l'opera lavora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Archivio storico diplomatico del Ministero degli Affari esteri (Roma, Farnesina).</w:t>
      </w:r>
      <w:r>
        <w:rPr>
          <w:rFonts w:ascii="Times New Roman" w:hAnsi="Times New Roman" w:cs="Times New Roman" w:eastAsia="Times New Roman"/>
          <w:b w:val="0"/>
          <w:sz w:val="24"/>
        </w:rPr>
        <w:t xml:space="preserve"> Lo stato corrente conferma e precisa l'avvertenza già nota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ragione di un intervento di valorizzazione e digitalizzazione del patrimonio, la sala di studio è chiusa al pubblico dal ventitré febbraio duemilaventisei fino al trentuno ottobre; il servizio non si interrompe del tutto, ma prosegue in forma ridotta a partire dal nove marzo duemilaventisei nella sala di lettura della Biblioteca, dotata di otto postazioni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Restano fermi il contingentamento e la prenotazione: si consultano due buste al giorno, tre in via eccezionale per chi provenga da fuori Roma, da richiedere entro le undici del giorno precedente, e l'accesso presuppone la registrazione sul portale dell'archivio, la successiva autorizzazione e la prenotazione del posto, senza la quale non si entra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L'orario è dal lunedì al venerdì, dalle nove e trenta alle quattordici e trenta, con chiusura estiva nel mese di agosto e nelle festività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conseguenza operativa è netta: per l'intera finestra compresa fra il tardo febbraio e la fine di ottobre duemilaventisei la consultazione va programmata sul servizio ridotto della Biblioteca, e ogni visita va prenotata con anticipo perché i posti sono pochi e le buste poche.</w:t>
      </w:r>
    </w:p>
    <w:p>
      <w:pPr>
        <w:spacing w:line="276" w:lineRule="auto" w:before="0" w:after="0"/>
        <w:ind w:firstLine="425"/>
        <w:jc w:val="both"/>
      </w:pPr>
      <w:r>
        <w:rPr>
          <w:rFonts w:ascii="Times New Roman" w:hAnsi="Times New Roman" w:cs="Times New Roman" w:eastAsia="Times New Roman"/>
          <w:b w:val="0"/>
          <w:sz w:val="24"/>
        </w:rPr>
        <w:t>In sintesi, delle tre condizioni due sono sciolte e documentate — la commendatizia con scadenza al quindici luglio del dicastero vaticano e il regime a contingentamento con chiusura fino al trentuno ottobre duemilaventisei dell'archivio diplomatico italiano — e vanno soltanto rispettate nella tempistica; una resta parzialmente aperta — la prova concreta della reciprocità per l'istituto polacco — e si chiude con una richiesta scritta preventiva all'ufficio competente. Nessuna delle tre è preclusiva; tutte e tre impongono però di muoversi prima, e non alla vigilia del viaggio.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Istituto polacco della memoria nazionale, archivio (portale EHRI) — https://portal.ehri-project.eu/institutions/pl-003137</w:t>
      </w:r>
    </w:p>
    <w:p>
      <w:pPr>
        <w:spacing w:line="276" w:lineRule="auto" w:before="0" w:after="0"/>
        <w:ind w:firstLine="425"/>
        <w:jc w:val="both"/>
      </w:pPr>
      <w:r>
        <w:rPr>
          <w:rFonts w:ascii="Times New Roman" w:hAnsi="Times New Roman" w:cs="Times New Roman" w:eastAsia="Times New Roman"/>
          <w:b w:val="0"/>
          <w:sz w:val="24"/>
        </w:rPr>
        <w:t>Istituto polacco della memoria nazionale — https://ipn.gov.pl/en</w:t>
      </w:r>
    </w:p>
    <w:p>
      <w:pPr>
        <w:spacing w:line="276" w:lineRule="auto" w:before="0" w:after="0"/>
        <w:ind w:firstLine="425"/>
        <w:jc w:val="both"/>
      </w:pPr>
      <w:r>
        <w:rPr>
          <w:rFonts w:ascii="Times New Roman" w:hAnsi="Times New Roman" w:cs="Times New Roman" w:eastAsia="Times New Roman"/>
          <w:b w:val="0"/>
          <w:sz w:val="24"/>
        </w:rPr>
        <w:t>Archivio del Dicastero per la Dottrina della Fede, richiesta di accesso — http://www.acdf.va/content/dottrinadellafede/it/servizi/richiesta-di-accesso.html</w:t>
      </w:r>
    </w:p>
    <w:p>
      <w:pPr>
        <w:spacing w:line="276" w:lineRule="auto" w:before="0" w:after="0"/>
        <w:ind w:firstLine="425"/>
        <w:jc w:val="both"/>
      </w:pPr>
      <w:r>
        <w:rPr>
          <w:rFonts w:ascii="Times New Roman" w:hAnsi="Times New Roman" w:cs="Times New Roman" w:eastAsia="Times New Roman"/>
          <w:b w:val="0"/>
          <w:sz w:val="24"/>
        </w:rPr>
        <w:t>Archivio del Dicastero per la Dottrina della Fede — https://www.acdf.va/content/dottrinadellafede/it.html</w:t>
      </w:r>
    </w:p>
    <w:p>
      <w:pPr>
        <w:spacing w:line="276" w:lineRule="auto" w:before="0" w:after="0"/>
        <w:ind w:firstLine="425"/>
        <w:jc w:val="both"/>
      </w:pPr>
      <w:r>
        <w:rPr>
          <w:rFonts w:ascii="Times New Roman" w:hAnsi="Times New Roman" w:cs="Times New Roman" w:eastAsia="Times New Roman"/>
          <w:b w:val="0"/>
          <w:sz w:val="24"/>
        </w:rPr>
        <w:t>Archivio storico diplomatico, servizi all'utenza (chiusura e servizio ridotto) — https://www.esteri.it/it/uapsds/archivio-storico-e-biblioteca/archivio-storico-diplomatico/servizi-allutenza/</w:t>
      </w:r>
    </w:p>
    <w:p>
      <w:pPr>
        <w:spacing w:line="276" w:lineRule="auto" w:before="0" w:after="0"/>
        <w:ind w:firstLine="425"/>
        <w:jc w:val="both"/>
      </w:pPr>
      <w:r>
        <w:rPr>
          <w:rFonts w:ascii="Times New Roman" w:hAnsi="Times New Roman" w:cs="Times New Roman" w:eastAsia="Times New Roman"/>
          <w:b w:val="0"/>
          <w:sz w:val="24"/>
        </w:rPr>
        <w:t>Archivio storico diplomatico, portale delle richieste — https://asd.esteri.it/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