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ind w:firstLine="425"/>
        <w:jc w:val="both"/>
      </w:pPr>
      <w:r>
        <w:rPr>
          <w:rFonts w:ascii="Times New Roman" w:hAnsi="Times New Roman" w:cs="Times New Roman" w:eastAsia="Times New Roman"/>
          <w:b w:val="0"/>
          <w:sz w:val="24"/>
        </w:rPr>
        <w:t>Questo lavoro estrae i nodi del Dominio Primo — la criminalità organizzata — dal censimento globale a struttura composita fornito dall'autore, un inventario vastissimo, di oltre settemila righe su tre livelli, che copre le mafie di tutto il mondo con la numerazione di scheda propria dell'opera. Poiché il documento è un atlante e non una prosa argomentata, l'estrazione procede come per gli altri inventari già trattati: si fissano i nodi apicali e i cardini, si distingue ciò che è già schedato nel registro-madre da ciò che entra come candidato nuovo, e si rimanda alla fase successiva il vaglio capillare delle sotto-articolazioni. Lo statuto è quello dell'opera: il nodo già registrato conserva il suo grado, il candidato nuovo entra al grado più basso e sale solo per triangolazione. Il lavoro è del sei agosto duemilaventisei.</w:t>
      </w:r>
    </w:p>
    <w:p>
      <w:pPr>
        <w:spacing w:line="276" w:lineRule="auto" w:before="0" w:after="0"/>
        <w:ind w:firstLine="425"/>
        <w:jc w:val="both"/>
      </w:pPr>
      <w:r>
        <w:rPr>
          <w:rFonts w:ascii="Times New Roman" w:hAnsi="Times New Roman" w:cs="Times New Roman" w:eastAsia="Times New Roman"/>
          <w:b/>
          <w:sz w:val="24"/>
        </w:rPr>
        <w:t>Il cuore italiano, già in gran parte schedato.</w:t>
      </w:r>
      <w:r>
        <w:rPr>
          <w:rFonts w:ascii="Times New Roman" w:hAnsi="Times New Roman" w:cs="Times New Roman" w:eastAsia="Times New Roman"/>
          <w:b w:val="0"/>
          <w:sz w:val="24"/>
        </w:rPr>
        <w:t xml:space="preserve"> L'estrazione conferma e ordina la spina italiana del dominio. Di Cosa Nostra siciliana trovano posto la struttura di vertice della commissione provinciale e i mandamenti cardine — Corleone dei corleonesi, Brancaccio dei Graviano, Ciaculli dei Greco, Porta Nuova — tutti ancorati a nodi-persona già registrati come Riina, Provenzano, Messina Denaro e Pippo Calò </w:t>
      </w:r>
      <w:r>
        <w:rPr>
          <w:rFonts w:ascii="Times New Roman" w:hAnsi="Times New Roman" w:cs="Times New Roman" w:eastAsia="Times New Roman"/>
          <w:b/>
          <w:sz w:val="24"/>
        </w:rPr>
        <w:t>(grado del registro, Livello A)</w:t>
      </w:r>
      <w:r>
        <w:rPr>
          <w:rFonts w:ascii="Times New Roman" w:hAnsi="Times New Roman" w:cs="Times New Roman" w:eastAsia="Times New Roman"/>
          <w:b w:val="0"/>
          <w:sz w:val="24"/>
        </w:rPr>
        <w:t xml:space="preserve">. Della 'ndrangheta si fissano l'organo di coordinamento, la Camera di Controllo scoperta con l'operazione Crimine, e il grado iniziatico della Santa che dà il collegamento con la massoneria deviata — dettaglio prezioso, perché è la porta che lega questo dominio a quello delle società segrete —, insieme ai locali di San Luca, Rosarno, Reggio Calabria e della Locride, e alla cosca Mancuso di Limbadi </w:t>
      </w:r>
      <w:r>
        <w:rPr>
          <w:rFonts w:ascii="Times New Roman" w:hAnsi="Times New Roman" w:cs="Times New Roman" w:eastAsia="Times New Roman"/>
          <w:b/>
          <w:sz w:val="24"/>
        </w:rPr>
        <w:t>(Livello A per i nodi registrati)</w:t>
      </w:r>
      <w:r>
        <w:rPr>
          <w:rFonts w:ascii="Times New Roman" w:hAnsi="Times New Roman" w:cs="Times New Roman" w:eastAsia="Times New Roman"/>
          <w:b w:val="0"/>
          <w:sz w:val="24"/>
        </w:rPr>
        <w:t>. Di Camorra e mafia pugliese si ordinano i Casalesi, l'alleanza di Secondigliano, la Sacra Corona Unita di Rogoli e la Società Foggiana. La Banda della Magliana, infine, compare qui nella sua veste criminale, ma è nodo doppio che tiene insieme criminalità e terrorismo nero.</w:t>
      </w:r>
    </w:p>
    <w:p>
      <w:pPr>
        <w:spacing w:line="276" w:lineRule="auto" w:before="0" w:after="0"/>
        <w:ind w:firstLine="425"/>
        <w:jc w:val="both"/>
      </w:pPr>
      <w:r>
        <w:rPr>
          <w:rFonts w:ascii="Times New Roman" w:hAnsi="Times New Roman" w:cs="Times New Roman" w:eastAsia="Times New Roman"/>
          <w:b/>
          <w:sz w:val="24"/>
        </w:rPr>
        <w:t>Gli incroci con il corpus verificato.</w:t>
      </w:r>
      <w:r>
        <w:rPr>
          <w:rFonts w:ascii="Times New Roman" w:hAnsi="Times New Roman" w:cs="Times New Roman" w:eastAsia="Times New Roman"/>
          <w:b w:val="0"/>
          <w:sz w:val="24"/>
        </w:rPr>
        <w:t xml:space="preserve"> L'estrazione non resta un elenco, perché quasi ogni nodo apicale italiano si salda a una verifica già compiuta. I corleonesi, i Graviano e la cosca Mancuso rimandano alle operazioni della nota dodicesima, da Rinascita-Scott alla 'ndrangheta stragista; i Casalesi al ciclo Spartacus; il locale di San Luca alle grandi rotte della cocaina di Eureka e Pollino; i clan baresi all'operazione Codice Interno; la Grande Aracri di Cutro al processo Aemilia </w:t>
      </w:r>
      <w:r>
        <w:rPr>
          <w:rFonts w:ascii="Times New Roman" w:hAnsi="Times New Roman" w:cs="Times New Roman" w:eastAsia="Times New Roman"/>
          <w:b/>
          <w:sz w:val="24"/>
        </w:rPr>
        <w:t>(coerente con la nota dodicesima)</w:t>
      </w:r>
      <w:r>
        <w:rPr>
          <w:rFonts w:ascii="Times New Roman" w:hAnsi="Times New Roman" w:cs="Times New Roman" w:eastAsia="Times New Roman"/>
          <w:b w:val="0"/>
          <w:sz w:val="24"/>
        </w:rPr>
        <w:t xml:space="preserve">. La Banda della Magliana rimanda alla nota decima e alla sinaptogenesi del hub P2. E la 'ndrina della Locride, con Morabito di Africo, si salda alla nota quattordicesima, l'operazione New Bridge, dove quella stessa area ionica dialogava con la famiglia Gambino di New York </w:t>
      </w:r>
      <w:r>
        <w:rPr>
          <w:rFonts w:ascii="Times New Roman" w:hAnsi="Times New Roman" w:cs="Times New Roman" w:eastAsia="Times New Roman"/>
          <w:b/>
          <w:sz w:val="24"/>
        </w:rPr>
        <w:t>(arco confermato)</w:t>
      </w:r>
      <w:r>
        <w:rPr>
          <w:rFonts w:ascii="Times New Roman" w:hAnsi="Times New Roman" w:cs="Times New Roman" w:eastAsia="Times New Roman"/>
          <w:b w:val="0"/>
          <w:sz w:val="24"/>
        </w:rPr>
        <w:t>.</w:t>
      </w:r>
    </w:p>
    <w:p>
      <w:pPr>
        <w:spacing w:line="276" w:lineRule="auto" w:before="0" w:after="0"/>
        <w:ind w:firstLine="425"/>
        <w:jc w:val="both"/>
      </w:pPr>
      <w:r>
        <w:rPr>
          <w:rFonts w:ascii="Times New Roman" w:hAnsi="Times New Roman" w:cs="Times New Roman" w:eastAsia="Times New Roman"/>
          <w:b/>
          <w:sz w:val="24"/>
        </w:rPr>
        <w:t>Cosa Nostra americana e l'atlante internazionale.</w:t>
      </w:r>
      <w:r>
        <w:rPr>
          <w:rFonts w:ascii="Times New Roman" w:hAnsi="Times New Roman" w:cs="Times New Roman" w:eastAsia="Times New Roman"/>
          <w:b w:val="0"/>
          <w:sz w:val="24"/>
        </w:rPr>
        <w:t xml:space="preserve"> Sul versante statunitense l'estrazione ordina le cinque famiglie di New York — Genovese, Gambino, Lucchese, Bonanno e Colombo — e una ventina di famiglie regionali, da Chicago a New Orleans a Tampa, oltre alle proiezioni canadesi dei Rizzuto. Tre saldature col corpus: la prosopografia Genovese della nota nona; la famiglia Gambino della nota quattordicesima; e la famiglia Lucchese, il cui territorio storico è il Bronx </w:t>
      </w:r>
      <w:r>
        <w:rPr>
          <w:rFonts w:ascii="Times New Roman" w:hAnsi="Times New Roman" w:cs="Times New Roman" w:eastAsia="Times New Roman"/>
          <w:b/>
          <w:sz w:val="24"/>
        </w:rPr>
        <w:t>(coerente con le note nona e quattordicesima)</w:t>
      </w:r>
      <w:r>
        <w:rPr>
          <w:rFonts w:ascii="Times New Roman" w:hAnsi="Times New Roman" w:cs="Times New Roman" w:eastAsia="Times New Roman"/>
          <w:b w:val="0"/>
          <w:sz w:val="24"/>
        </w:rPr>
        <w:t xml:space="preserve">. L'atlante prosegue con i cartelli messicani nelle loro fazioni interne — Sinaloa diviso fra i figli di Guzmán e i lealisti di Zambada, il cartello di Jalisco col suo braccio finanziario e la sua unità d'assalto —, con le triadi cinesi e la yakuza, e con la galassia post-sovietica, dai sindacati moscoviti e pietroburghesi alle mafie caucasiche georgiane e cecene, che si collegano ai corpora russi conservati nella memoria operativa del progetto </w:t>
      </w:r>
      <w:r>
        <w:rPr>
          <w:rFonts w:ascii="Times New Roman" w:hAnsi="Times New Roman" w:cs="Times New Roman" w:eastAsia="Times New Roman"/>
          <w:b/>
          <w:sz w:val="24"/>
        </w:rPr>
        <w:t>(candidati di Livello C, salvo i nodi già registrati come i cartelli storici e la yakuza)</w:t>
      </w:r>
      <w:r>
        <w:rPr>
          <w:rFonts w:ascii="Times New Roman" w:hAnsi="Times New Roman" w:cs="Times New Roman" w:eastAsia="Times New Roman"/>
          <w:b w:val="0"/>
          <w:sz w:val="24"/>
        </w:rPr>
        <w:t>.</w:t>
      </w:r>
    </w:p>
    <w:p>
      <w:pPr>
        <w:spacing w:line="276" w:lineRule="auto" w:before="0" w:after="0"/>
        <w:ind w:firstLine="425"/>
        <w:jc w:val="both"/>
      </w:pPr>
      <w:r>
        <w:rPr>
          <w:rFonts w:ascii="Times New Roman" w:hAnsi="Times New Roman" w:cs="Times New Roman" w:eastAsia="Times New Roman"/>
          <w:b/>
          <w:sz w:val="24"/>
        </w:rPr>
        <w:t>Le categorie nuove: dal cyber ai signori della guerra.</w:t>
      </w:r>
      <w:r>
        <w:rPr>
          <w:rFonts w:ascii="Times New Roman" w:hAnsi="Times New Roman" w:cs="Times New Roman" w:eastAsia="Times New Roman"/>
          <w:b w:val="0"/>
          <w:sz w:val="24"/>
        </w:rPr>
        <w:t xml:space="preserve"> Il censimento apre giacimenti che il registro-madre non copre ancora e che l'estrazione segnala come candidati da vagliare. Vi sono le strutture ibride paramilitari-criminali delle zone di conflitto — le forze di supporto rapide sudanesi, i gruppi armati del Congo orientale che vivono di coltan e oro, l'esercito dello Stato Wa in Birmania con la sua economia di metanfetamine, l'economia dell'oppio dei talebani; le reti finanziarie criminali di Hezbollah e Hamas, che il registro conosce solo come nodi del terrorismo; i grandi recinti della truffa online al confine birmano e cambogiano, gestiti da sindacati cinesi con manodopera ridotta in schiavitù; e la criminalità cibernetica di Stato, dai gruppi nordcoreani che depredano le piattaforme di criptovalute alle unità russe del servizio militare, fino ai sindacati del riscatto informatico </w:t>
      </w:r>
      <w:r>
        <w:rPr>
          <w:rFonts w:ascii="Times New Roman" w:hAnsi="Times New Roman" w:cs="Times New Roman" w:eastAsia="Times New Roman"/>
          <w:b/>
          <w:sz w:val="24"/>
        </w:rPr>
        <w:t>(tutti candidati di Livello C, dominio criminale con sconfinamenti nell'economia, nell'intelligence e nelle forze armate)</w:t>
      </w:r>
      <w:r>
        <w:rPr>
          <w:rFonts w:ascii="Times New Roman" w:hAnsi="Times New Roman" w:cs="Times New Roman" w:eastAsia="Times New Roman"/>
          <w:b w:val="0"/>
          <w:sz w:val="24"/>
        </w:rPr>
        <w:t>. È materia che, una volta triangolata, allargherà il dominio verso il presente.</w:t>
      </w:r>
    </w:p>
    <w:p>
      <w:pPr>
        <w:spacing w:line="276" w:lineRule="auto" w:before="0" w:after="0"/>
        <w:ind w:firstLine="425"/>
        <w:jc w:val="both"/>
      </w:pPr>
      <w:r>
        <w:rPr>
          <w:rFonts w:ascii="Times New Roman" w:hAnsi="Times New Roman" w:cs="Times New Roman" w:eastAsia="Times New Roman"/>
          <w:b/>
          <w:sz w:val="24"/>
        </w:rPr>
        <w:t>Verdetto e lacune dichiarate.</w:t>
      </w:r>
      <w:r>
        <w:rPr>
          <w:rFonts w:ascii="Times New Roman" w:hAnsi="Times New Roman" w:cs="Times New Roman" w:eastAsia="Times New Roman"/>
          <w:b w:val="0"/>
          <w:sz w:val="24"/>
        </w:rPr>
        <w:t xml:space="preserve"> L'estrazione fissa cinquantacinque nodi del Dominio Primo, ordinati per libro e per area, distinguendo i molti già schedati dai candidati nuovi e dalle organizzazioni storiche ormai estinte, e li deposita nel foglio di servizio allegato con i relativi incroci verso le note di verifica. Le lacune vanno dichiarate: il censimento è tanto vasto che il vaglio capillare delle sotto-articolazioni — le fazioni dei cartelli, le sotto-fazioni delle triadi, i sindacati del riscatto, i clan minori — resta alla fase successiva, così come l'assegnazione formale dei numeri di scheda; e restano segnalati come assenti dal registro e da promuovere alcuni nodi di peso, dai talebani ai gruppi cyber ibridi alla criminalità della diaspora. Se ne certifica l'estrazione con questo esito. È la settima voce d'integrazione della sessione, ed è il primo popolamento sistematico del Dominio Primo dalla fonte che gli è propria.</w:t>
      </w:r>
    </w:p>
    <w:p>
      <w:pPr>
        <w:spacing w:line="276" w:lineRule="auto" w:before="0" w:after="0"/>
        <w:ind w:firstLine="425"/>
        <w:jc w:val="both"/>
      </w:pPr>
      <w:r>
        <w:rPr>
          <w:rFonts w:ascii="Times New Roman" w:hAnsi="Times New Roman" w:cs="Times New Roman" w:eastAsia="Times New Roman"/>
          <w:b/>
          <w:sz w:val="24"/>
        </w:rPr>
        <w:t>Fonti e URL</w:t>
      </w:r>
    </w:p>
    <w:p>
      <w:pPr>
        <w:spacing w:line="276" w:lineRule="auto" w:before="0" w:after="0"/>
        <w:ind w:firstLine="425"/>
        <w:jc w:val="both"/>
      </w:pPr>
      <w:r>
        <w:rPr>
          <w:rFonts w:ascii="Times New Roman" w:hAnsi="Times New Roman" w:cs="Times New Roman" w:eastAsia="Times New Roman"/>
          <w:b w:val="0"/>
          <w:sz w:val="24"/>
        </w:rPr>
        <w:t>Fonte primaria — «Censimento globale della criminalità organizzata» (struttura composita a tre livelli, fornito dall'autore)</w:t>
      </w:r>
    </w:p>
    <w:p>
      <w:pPr>
        <w:spacing w:line="276" w:lineRule="auto" w:before="0" w:after="0"/>
        <w:ind w:firstLine="425"/>
        <w:jc w:val="both"/>
      </w:pPr>
      <w:r>
        <w:rPr>
          <w:rFonts w:ascii="Times New Roman" w:hAnsi="Times New Roman" w:cs="Times New Roman" w:eastAsia="Times New Roman"/>
          <w:b w:val="0"/>
          <w:sz w:val="24"/>
        </w:rPr>
        <w:t>Incroci interni al corpus: note di verifica n.9 (Genovese/Gambino), n.10 (Banda della Magliana), n.12 (operazioni antimafia), n.14 (New Bridge) — corpus/diagnostica/</w:t>
      </w:r>
    </w:p>
    <w:p>
      <w:pPr>
        <w:spacing w:line="276" w:lineRule="auto" w:before="0" w:after="0"/>
        <w:ind w:firstLine="425"/>
        <w:jc w:val="both"/>
      </w:pPr>
      <w:r>
        <w:rPr>
          <w:rFonts w:ascii="Times New Roman" w:hAnsi="Times New Roman" w:cs="Times New Roman" w:eastAsia="Times New Roman"/>
          <w:b w:val="0"/>
          <w:sz w:val="24"/>
        </w:rPr>
        <w:t>Registro-madre: «ITALIA NERA — Censimento generale dei nodi per dominio» (Dominio Primo) — corpus/opera/</w:t>
      </w:r>
    </w:p>
    <w:p>
      <w:pPr>
        <w:spacing w:line="276" w:lineRule="auto" w:before="0" w:after="0"/>
        <w:ind w:firstLine="425"/>
        <w:jc w:val="both"/>
      </w:pPr>
      <w:r>
        <w:rPr>
          <w:rFonts w:ascii="Times New Roman" w:hAnsi="Times New Roman" w:cs="Times New Roman" w:eastAsia="Times New Roman"/>
          <w:b w:val="0"/>
          <w:sz w:val="24"/>
        </w:rPr>
        <w:t>Registro di servizio allegato: repertorio/ITALIA_NERA_NODI_D1_CRIMINALITA_ORGANIZZATA.xlsx</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