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ind w:firstLine="0"/>
        <w:jc w:val="center"/>
      </w:pPr>
      <w:r>
        <w:rPr>
          <w:rFonts w:ascii="Times New Roman" w:hAnsi="Times New Roman" w:cs="Times New Roman" w:eastAsia="Times New Roman"/>
          <w:b/>
          <w:i w:val="0"/>
          <w:sz w:val="28"/>
        </w:rPr>
        <w:t>ITALIA NERA</w:t>
      </w:r>
    </w:p>
    <w:p>
      <w:pPr>
        <w:spacing w:line="276" w:lineRule="auto" w:before="0" w:after="120"/>
        <w:ind w:firstLine="0"/>
        <w:jc w:val="center"/>
      </w:pPr>
      <w:r>
        <w:rPr>
          <w:rFonts w:ascii="Times New Roman" w:hAnsi="Times New Roman" w:cs="Times New Roman" w:eastAsia="Times New Roman"/>
          <w:b/>
          <w:i w:val="0"/>
          <w:sz w:val="24"/>
        </w:rPr>
        <w:t>BILANCIO COMPLESSIVO DELLA VERIFICA DEL FOGLIO 03 — ATTI GIUDIZIARI E NORMATIVI</w:t>
      </w:r>
    </w:p>
    <w:p>
      <w:pPr>
        <w:spacing w:line="276" w:lineRule="auto" w:before="0" w:after="360"/>
        <w:ind w:firstLine="0"/>
        <w:jc w:val="center"/>
      </w:pPr>
      <w:r>
        <w:rPr>
          <w:rFonts w:ascii="Times New Roman" w:hAnsi="Times New Roman" w:cs="Times New Roman" w:eastAsia="Times New Roman"/>
          <w:b w:val="0"/>
          <w:i/>
          <w:sz w:val="22"/>
        </w:rPr>
        <w:t>Cinque agosto duemilaventisei</w:t>
      </w:r>
    </w:p>
    <w:p>
      <w:pPr>
        <w:spacing w:line="276" w:lineRule="auto" w:before="280" w:after="120"/>
        <w:ind w:firstLine="0"/>
        <w:jc w:val="left"/>
      </w:pPr>
      <w:r>
        <w:rPr>
          <w:rFonts w:ascii="Times New Roman" w:hAnsi="Times New Roman" w:cs="Times New Roman" w:eastAsia="Times New Roman"/>
          <w:b/>
          <w:i w:val="0"/>
          <w:sz w:val="24"/>
        </w:rPr>
        <w:t>I. Oggetto, estensione e limiti della verifica</w:t>
      </w:r>
    </w:p>
    <w:p>
      <w:pPr>
        <w:spacing w:line="276" w:lineRule="auto" w:before="0" w:after="0"/>
        <w:ind w:firstLine="425"/>
        <w:jc w:val="both"/>
      </w:pPr>
      <w:r>
        <w:rPr>
          <w:rFonts w:ascii="Times New Roman" w:hAnsi="Times New Roman" w:cs="Times New Roman" w:eastAsia="Times New Roman"/>
          <w:b w:val="0"/>
          <w:i w:val="0"/>
          <w:sz w:val="24"/>
        </w:rPr>
        <w:t>Il presente bilancio riferisce l'esito della verifica integrale del foglio denominato «03 Atti giudiziari e normativi» del repertorio ITALIA NERA. Il foglio contiene settantatré voci, ciascuna delle quali registra un atto giudiziario, legislativo, amministrativo o parlamentare, italiano o straniero. Tutte e settantatré sono state esaminate una per una; per ciascuna è stata compilata una terna di campi contenente l'esito della verifica, la data in cui è stata condotta e l'annotazione analitica che ne motiva la classificazione. Nessuna voce è rimasta priva di esito.</w:t>
      </w:r>
    </w:p>
    <w:p>
      <w:pPr>
        <w:spacing w:line="276" w:lineRule="auto" w:before="0" w:after="0"/>
        <w:ind w:firstLine="425"/>
        <w:jc w:val="both"/>
      </w:pPr>
      <w:r>
        <w:rPr>
          <w:rFonts w:ascii="Times New Roman" w:hAnsi="Times New Roman" w:cs="Times New Roman" w:eastAsia="Times New Roman"/>
          <w:b w:val="0"/>
          <w:i w:val="0"/>
          <w:sz w:val="24"/>
        </w:rPr>
        <w:t>La verifica è stata condotta per via documentaria e, in assenza di accesso diretto agli originali, per via di riscontro su fonti secondarie qualificate. Questa è la prima e più importante limitazione del lavoro e va dichiarata prima di ogni altro risultato: ciò che è stato accertato non è che gli atti dicano quel che le voci affermano, ma che le voci concordino con quanto di essi riferiscono fonti che è stato possibile consultare. La distinzione non è formale. In due casi la verifica ha potuto poggiare su strumenti di corredo archivistico — segnatamente l'inventario del fondo processuale di piazza Fontana conservato presso l'Archivio di Stato di Milano — e in quei due casi il riscontro ha un peso che gli altri non hanno. In tutti gli altri il grado raggiunto è quello della concordanza fra la voce e la letteratura di riferimento, che è cosa diversa dalla concordanza fra la voce e il provvedimento.</w:t>
      </w:r>
    </w:p>
    <w:p>
      <w:pPr>
        <w:spacing w:line="276" w:lineRule="auto" w:before="0" w:after="0"/>
        <w:ind w:firstLine="425"/>
        <w:jc w:val="both"/>
      </w:pPr>
      <w:r>
        <w:rPr>
          <w:rFonts w:ascii="Times New Roman" w:hAnsi="Times New Roman" w:cs="Times New Roman" w:eastAsia="Times New Roman"/>
          <w:b w:val="0"/>
          <w:i w:val="0"/>
          <w:sz w:val="24"/>
        </w:rPr>
        <w:t>Una seconda limitazione riguarda la asimmetria della copertura. Gli atti stranieri, in particolare britannici e tedeschi, sono risultati assai più agevolmente verificabili di quelli italiani, perché le istituzioni che li hanno prodotti ne pubblicano relazioni, sintesi ufficiali e comunicati in forma stabile e citabile. Ne consegue che il tasso di conferma qui riferito è, con ogni probabilità, più alto di quello che si otterrebbe se le medesime voci fossero controllate sugli originali, e che le voci italiane restano quelle su cui il margine di errore residuo è maggiore. Questo effetto è una manifestazione del principio già registrato nel corpus sotto il nome di effetto lampione: la densità documentaria misura l'attenzione, non l'intensità storica, e in questo caso misura l'accessibilità, non l'esattezza.</w:t>
      </w:r>
    </w:p>
    <w:p>
      <w:pPr>
        <w:spacing w:line="276" w:lineRule="auto" w:before="280" w:after="120"/>
        <w:ind w:firstLine="0"/>
        <w:jc w:val="left"/>
      </w:pPr>
      <w:r>
        <w:rPr>
          <w:rFonts w:ascii="Times New Roman" w:hAnsi="Times New Roman" w:cs="Times New Roman" w:eastAsia="Times New Roman"/>
          <w:b/>
          <w:i w:val="0"/>
          <w:sz w:val="24"/>
        </w:rPr>
        <w:t>II. Il dato d'insieme</w:t>
      </w:r>
    </w:p>
    <w:p>
      <w:pPr>
        <w:spacing w:line="276" w:lineRule="auto" w:before="0" w:after="0"/>
        <w:ind w:firstLine="425"/>
        <w:jc w:val="both"/>
      </w:pPr>
      <w:r>
        <w:rPr>
          <w:rFonts w:ascii="Times New Roman" w:hAnsi="Times New Roman" w:cs="Times New Roman" w:eastAsia="Times New Roman"/>
          <w:b w:val="0"/>
          <w:i w:val="0"/>
          <w:sz w:val="24"/>
        </w:rPr>
        <w:t>Il risultato principale è negativo, ed è il più importante di tutti: nessuna delle settantatré voci registra un atto inesistente. Non è stata trovata una sola sentenza inventata, una sola legge mai promulgata, un solo organismo mai istituito. In un repertorio prodotto per via generativa questo era il rischio più grave e più difficile da escludere, ed è escluso. La struttura documentaria dell'opera regge: gli atti su cui essa poggia esistono tutti.</w:t>
      </w:r>
    </w:p>
    <w:p>
      <w:pPr>
        <w:spacing w:line="276" w:lineRule="auto" w:before="0" w:after="0"/>
        <w:ind w:firstLine="425"/>
        <w:jc w:val="both"/>
      </w:pPr>
      <w:r>
        <w:rPr>
          <w:rFonts w:ascii="Times New Roman" w:hAnsi="Times New Roman" w:cs="Times New Roman" w:eastAsia="Times New Roman"/>
          <w:b w:val="0"/>
          <w:i w:val="0"/>
          <w:sz w:val="24"/>
        </w:rPr>
        <w:t>Il secondo dato d'insieme riguarda la qualità delle citazioni forensi. La voce più articolata dell'intero foglio — la sentenza della seconda sezione penale della Corte di cassazione del tre maggio, depositata il dieci giugno duemilacinque, numero ventunomilanovecentonovantotto, presidente Morelli, relatore Macchia, ricorrente Tringali e altri — è esatta in tutti e sei i suoi elementi, compreso il nome del relatore. Analogamente sono risultate esatte, elemento per elemento, la ripartizione delle sanzioni disciplinari deliberate dal plenum del Consiglio superiore della magistratura il nove febbraio millenovecentottantatré, la griglia delle dodici condanne del caso Marey, le quattro dichiarazioni di incompatibilità della causa Dillon, i sette ergastoli e le tre pene ridotte dei processi sul sequestro Schleyer, i cinque nomi delle vittime della strage di calle Atocha e i dieci nomi delle vittime della serie di omicidi giudicata a Monaco. Dove il repertorio scende nel dettaglio numerico e nominale, il dettaglio tiene.</w:t>
      </w:r>
    </w:p>
    <w:p>
      <w:pPr>
        <w:spacing w:line="276" w:lineRule="auto" w:before="280" w:after="120"/>
        <w:ind w:firstLine="0"/>
        <w:jc w:val="left"/>
      </w:pPr>
      <w:r>
        <w:rPr>
          <w:rFonts w:ascii="Times New Roman" w:hAnsi="Times New Roman" w:cs="Times New Roman" w:eastAsia="Times New Roman"/>
          <w:b/>
          <w:i w:val="0"/>
          <w:sz w:val="24"/>
        </w:rPr>
        <w:t>III. Gli errori di sostanza</w:t>
      </w:r>
    </w:p>
    <w:p>
      <w:pPr>
        <w:spacing w:line="276" w:lineRule="auto" w:before="0" w:after="0"/>
        <w:ind w:firstLine="425"/>
        <w:jc w:val="both"/>
      </w:pPr>
      <w:r>
        <w:rPr>
          <w:rFonts w:ascii="Times New Roman" w:hAnsi="Times New Roman" w:cs="Times New Roman" w:eastAsia="Times New Roman"/>
          <w:b w:val="0"/>
          <w:i w:val="0"/>
          <w:sz w:val="24"/>
        </w:rPr>
        <w:t>Sono stati accertati tre errori che incidono sul contenuto di quanto affermato, non sulla sua forma. Il primo riguarda la formula del dispositivo nel procedimento di Perugia, dove la voce impiegava un termine processuale diverso da quello del provvedimento; poiché nel sistema italiano la formula di proscioglimento e quella di assoluzione hanno portata diversa, la sostituzione non è indifferente. Il secondo riguarda l'indagine britannica sul disastro dello stadio, dove una percentuale indicata dalla voce come determinata risulta invece dichiarata ignota dalla fonte: la voce indurisce un dato che l'atto lascia aperto. Il terzo riguarda una votazione del Senato degli Stati Uniti, riferita dalla voce con una cifra di più di un ordine di grandezza superiore a quella reale, per effetto di un guasto numerico di cui si dirà.</w:t>
      </w:r>
    </w:p>
    <w:p>
      <w:pPr>
        <w:spacing w:line="276" w:lineRule="auto" w:before="0" w:after="0"/>
        <w:ind w:firstLine="425"/>
        <w:jc w:val="both"/>
      </w:pPr>
      <w:r>
        <w:rPr>
          <w:rFonts w:ascii="Times New Roman" w:hAnsi="Times New Roman" w:cs="Times New Roman" w:eastAsia="Times New Roman"/>
          <w:b w:val="0"/>
          <w:i w:val="0"/>
          <w:sz w:val="24"/>
        </w:rPr>
        <w:t>A questi va aggiunto un quarto rilievo, di natura diversa perché non è un errore ma un difetto di determinazione: la voce sulla Cassazione nel procedimento contro l'ex presidente del Consiglio reca il solo anno duemilaquattro, laddove sono disponibili sia la data della pronuncia sia quella del deposito delle motivazioni, e la loro distanza è di oltre due mesi. Il medesimo repertorio, nella voce sul procedimento relativo all'operazione continentale sudamericana, gestisce correttamente una identica discrepanza fra pronuncia e deposito, spiegandola. La disciplina, dunque, il repertorio la conosce; semplicemente non la applica in modo uniforme.</w:t>
      </w:r>
    </w:p>
    <w:p>
      <w:pPr>
        <w:spacing w:line="276" w:lineRule="auto" w:before="280" w:after="120"/>
        <w:ind w:firstLine="0"/>
        <w:jc w:val="left"/>
      </w:pPr>
      <w:r>
        <w:rPr>
          <w:rFonts w:ascii="Times New Roman" w:hAnsi="Times New Roman" w:cs="Times New Roman" w:eastAsia="Times New Roman"/>
          <w:b/>
          <w:i w:val="0"/>
          <w:sz w:val="24"/>
        </w:rPr>
        <w:t>IV. Il guasto numerico e i suoi residui</w:t>
      </w:r>
    </w:p>
    <w:p>
      <w:pPr>
        <w:spacing w:line="276" w:lineRule="auto" w:before="0" w:after="0"/>
        <w:ind w:firstLine="425"/>
        <w:jc w:val="both"/>
      </w:pPr>
      <w:r>
        <w:rPr>
          <w:rFonts w:ascii="Times New Roman" w:hAnsi="Times New Roman" w:cs="Times New Roman" w:eastAsia="Times New Roman"/>
          <w:b w:val="0"/>
          <w:i w:val="0"/>
          <w:sz w:val="24"/>
        </w:rPr>
        <w:t>Il repertorio soffriva di una corruzione sistematica per cui parole italiane contenenti al proprio interno la sequenza alfabetica di un numero venivano trasformate sostituendo quella sequenza con la cifra corrispondente. La riparazione condotta all'inizio della sessione ha operato cinquecentocinquantasei sostituzioni su centosettantaquattro forme distinte, escludendo quattordici sigle legittime e riservando sei forme ambigue a revisione manuale. La verifica delle settantatré voci ha confermato che il guasto ha prodotto almeno due cifre false sopravvissute nel testo: la votazione senatoriale già citata e il numero delle pagine esaminate dal collegio indipendente sul disastro dello stadio, indicato in una forma che sopravvaluta il dato reale di un fattore prossimo a dieci.</w:t>
      </w:r>
    </w:p>
    <w:p>
      <w:pPr>
        <w:spacing w:line="276" w:lineRule="auto" w:before="0" w:after="0"/>
        <w:ind w:firstLine="425"/>
        <w:jc w:val="both"/>
      </w:pPr>
      <w:r>
        <w:rPr>
          <w:rFonts w:ascii="Times New Roman" w:hAnsi="Times New Roman" w:cs="Times New Roman" w:eastAsia="Times New Roman"/>
          <w:b w:val="0"/>
          <w:i w:val="0"/>
          <w:sz w:val="24"/>
        </w:rPr>
        <w:t>La verifica ha inoltre individuato un residuo che la riparazione non poteva intercettare: la lunghezza della relazione del collegio indipendente sull'omicidio dell'investigatore privato londinese compare in forma mista, con la parte in lettere seguita dalla parte in cifre. La regola di riparazione escludeva le cifre contigue ad altre cifre, per non danneggiare i numeri autentici; il prezzo di quella prudenza è la sopravvivenza delle forme ibride. Questo comporta che la ricerca dei residui non possa essere condotta per regola automatica ma debba essere fatta per lettura, e che il difetto vada considerato aperto sui tre registri principali del corpus, dove esso persiste in un numero di occorrenze compreso fra cinquecentottantacinque e seicentotto per ciascuno.</w:t>
      </w:r>
    </w:p>
    <w:p>
      <w:pPr>
        <w:spacing w:line="276" w:lineRule="auto" w:before="280" w:after="120"/>
        <w:ind w:firstLine="0"/>
        <w:jc w:val="left"/>
      </w:pPr>
      <w:r>
        <w:rPr>
          <w:rFonts w:ascii="Times New Roman" w:hAnsi="Times New Roman" w:cs="Times New Roman" w:eastAsia="Times New Roman"/>
          <w:b/>
          <w:i w:val="0"/>
          <w:sz w:val="24"/>
        </w:rPr>
        <w:t>V. Il difetto di misura: la clausola limitativa soppressa</w:t>
      </w:r>
    </w:p>
    <w:p>
      <w:pPr>
        <w:spacing w:line="276" w:lineRule="auto" w:before="0" w:after="0"/>
        <w:ind w:firstLine="425"/>
        <w:jc w:val="both"/>
      </w:pPr>
      <w:r>
        <w:rPr>
          <w:rFonts w:ascii="Times New Roman" w:hAnsi="Times New Roman" w:cs="Times New Roman" w:eastAsia="Times New Roman"/>
          <w:b w:val="0"/>
          <w:i w:val="0"/>
          <w:sz w:val="24"/>
        </w:rPr>
        <w:t>Il rilievo più significativo emerso dalla verifica non è un errore di fatto ma una deformazione ricorrente. In almeno tre voci il repertorio conserva la metà più netta di una proposizione e scarta la clausola che la limita, in una direzione o nell'altra a seconda di quale delle due renda l'enunciato più forte. Il decreto di archiviazione del procedimento sul negoziato alberghiero romano riconosceva l'esistenza di atti diretti al finanziamento illecito e insieme li dichiarava inidonei allo scopo: la voce conservava la seconda metà. La relazione sull'omicidio dell'avvocato di Belfast accertava un livello sconvolgente di collusione statale e insieme escludeva una cospirazione statale complessiva: la voce conservava la prima. La relazione sull'inchiesta pubblica relativa al sangue infetto affermava che il disastro poteva essere evitato in larga parte, benché non interamente: la voce sopprimeva la riserva.</w:t>
      </w:r>
    </w:p>
    <w:p>
      <w:pPr>
        <w:spacing w:line="276" w:lineRule="auto" w:before="0" w:after="0"/>
        <w:ind w:firstLine="425"/>
        <w:jc w:val="both"/>
      </w:pPr>
      <w:r>
        <w:rPr>
          <w:rFonts w:ascii="Times New Roman" w:hAnsi="Times New Roman" w:cs="Times New Roman" w:eastAsia="Times New Roman"/>
          <w:b w:val="0"/>
          <w:i w:val="0"/>
          <w:sz w:val="24"/>
        </w:rPr>
        <w:t>Il difetto è più insidioso di un errore di data perché non è falsificabile con un controllo puntuale. Ciascuna delle tre proposizioni, così come riportata, è letteralmente presente nell'atto; ciò che manca è la proposizione che la bilancia nel medesimo atto. Il risultato è che il repertorio attribuisce ai documenti citati affermazioni che essi non sostengono nella forma in cui sono riportate. Poiché il difetto è stato individuato su tre voci esaminate con particolare attenzione al testo, e poiché nulla lascia pensare che esse siano state selezionate in modo non casuale, va assunto che il fenomeno interessi anche voci qui classificate come confermate, e va pertanto esteso a tutte le voci un controllo specifico sulla completezza delle proposizioni citate.</w:t>
      </w:r>
    </w:p>
    <w:p>
      <w:pPr>
        <w:spacing w:line="276" w:lineRule="auto" w:before="0" w:after="0"/>
        <w:ind w:firstLine="425"/>
        <w:jc w:val="both"/>
      </w:pPr>
      <w:r>
        <w:rPr>
          <w:rFonts w:ascii="Times New Roman" w:hAnsi="Times New Roman" w:cs="Times New Roman" w:eastAsia="Times New Roman"/>
          <w:b w:val="0"/>
          <w:i w:val="0"/>
          <w:sz w:val="24"/>
        </w:rPr>
        <w:t>A questo si collega un rilievo affine, registrato durante la verifica come diciottesimo pattern e qui confermato nella sua rilevanza generale: l'enunciato letteralmente vero che produce impressione falsa per compressione temporale. Il caso di riferimento resta la qualifica di consigliere del direttore in carica di un servizio estero, attribuita a un rapporto di consulenza effettivamente esistito ma esercitato quando costui rivestiva una carica parlamentare e non quella odierna. Nessun elemento dell'enunciato è falso; l'impressione che esso produce lo è.</w:t>
      </w:r>
    </w:p>
    <w:p>
      <w:pPr>
        <w:spacing w:line="276" w:lineRule="auto" w:before="280" w:after="120"/>
        <w:ind w:firstLine="0"/>
        <w:jc w:val="left"/>
      </w:pPr>
      <w:r>
        <w:rPr>
          <w:rFonts w:ascii="Times New Roman" w:hAnsi="Times New Roman" w:cs="Times New Roman" w:eastAsia="Times New Roman"/>
          <w:b/>
          <w:i w:val="0"/>
          <w:sz w:val="24"/>
        </w:rPr>
        <w:t>VI. L'omissione sistematica dei nomi propri</w:t>
      </w:r>
    </w:p>
    <w:p>
      <w:pPr>
        <w:spacing w:line="276" w:lineRule="auto" w:before="0" w:after="0"/>
        <w:ind w:firstLine="425"/>
        <w:jc w:val="both"/>
      </w:pPr>
      <w:r>
        <w:rPr>
          <w:rFonts w:ascii="Times New Roman" w:hAnsi="Times New Roman" w:cs="Times New Roman" w:eastAsia="Times New Roman"/>
          <w:b w:val="0"/>
          <w:i w:val="0"/>
          <w:sz w:val="24"/>
        </w:rPr>
        <w:t>Sono stati contati oltre centoventi nomi propri disponibili nelle fonti e assenti dalle voci corrispondenti. Non si tratta di un difetto uniforme, e la sua distribuzione è essa stessa un dato. Le voci nominano di regola le vittime — i cinque avvocati giuslavoristi di Madrid, le dieci persone uccise nella serie di omicidi tedesca, i quattro uomini della scorta di Colonia — e di regola tacciono gli imputati, i condannati, i magistrati e gli organi. Così la strage di Atocha reca l'elenco completo dei morti e nessuno dei condannati; il caso Marey reca la griglia esatta delle dodici pene e nessuno dei dodici nomi; il procedimento disciplinare del millenovecentottantatré reca la ripartizione esatta delle sanzioni e non reca il nome dell'estensore, che è disponibile e non è irrilevante.</w:t>
      </w:r>
    </w:p>
    <w:p>
      <w:pPr>
        <w:spacing w:line="276" w:lineRule="auto" w:before="0" w:after="0"/>
        <w:ind w:firstLine="425"/>
        <w:jc w:val="both"/>
      </w:pPr>
      <w:r>
        <w:rPr>
          <w:rFonts w:ascii="Times New Roman" w:hAnsi="Times New Roman" w:cs="Times New Roman" w:eastAsia="Times New Roman"/>
          <w:b w:val="0"/>
          <w:i w:val="0"/>
          <w:sz w:val="24"/>
        </w:rPr>
        <w:t>La conseguenza pratica è che il foglio, così com'è, non è utilizzabile come base per la costruzione della rete nodale. Una voce che accerti una condanna senza nominare il condannato non genera alcun nodo e non consente alcun arco; registra un fatto e ne perde la struttura. Poiché la rete è l'apparato analitico centrale dell'opera, questa omissione non è un difetto di forma ma un difetto funzionale, ed è il primo intervento da programmare sul foglio.</w:t>
      </w:r>
    </w:p>
    <w:p>
      <w:pPr>
        <w:spacing w:line="276" w:lineRule="auto" w:before="280" w:after="120"/>
        <w:ind w:firstLine="0"/>
        <w:jc w:val="left"/>
      </w:pPr>
      <w:r>
        <w:rPr>
          <w:rFonts w:ascii="Times New Roman" w:hAnsi="Times New Roman" w:cs="Times New Roman" w:eastAsia="Times New Roman"/>
          <w:b/>
          <w:i w:val="0"/>
          <w:sz w:val="24"/>
        </w:rPr>
        <w:t>VII. Le date singole dove gli atti sono due</w:t>
      </w:r>
    </w:p>
    <w:p>
      <w:pPr>
        <w:spacing w:line="276" w:lineRule="auto" w:before="0" w:after="0"/>
        <w:ind w:firstLine="425"/>
        <w:jc w:val="both"/>
      </w:pPr>
      <w:r>
        <w:rPr>
          <w:rFonts w:ascii="Times New Roman" w:hAnsi="Times New Roman" w:cs="Times New Roman" w:eastAsia="Times New Roman"/>
          <w:b w:val="0"/>
          <w:i w:val="0"/>
          <w:sz w:val="24"/>
        </w:rPr>
        <w:t>In almeno quattro voci il repertorio reca una sola data laddove il procedimento ne produce due, distinte e ambedue vere: pronuncia e deposito, completamento e pubblicazione, emissione e notificazione. La relazione interim dell'operazione britannica sull'agente infiltrato fu completata il quattro ottobre duemilaventitré e pubblicata l'otto marzo duemilaventiquattro, e la voce reca soltanto la seconda, con una differenza di cinque mesi. La sentenza della Cassazione già citata reca il solo anno. La divergenza di un giorno sugli ordini di cattura internazionale della causa argentina appartiene alla medesima famiglia. Il repertorio, come si è detto, conosce la regola e la applica bene in un caso; la questione non è di conoscenza ma di applicazione sistematica.</w:t>
      </w:r>
    </w:p>
    <w:p>
      <w:pPr>
        <w:spacing w:line="276" w:lineRule="auto" w:before="280" w:after="120"/>
        <w:ind w:firstLine="0"/>
        <w:jc w:val="left"/>
      </w:pPr>
      <w:r>
        <w:rPr>
          <w:rFonts w:ascii="Times New Roman" w:hAnsi="Times New Roman" w:cs="Times New Roman" w:eastAsia="Times New Roman"/>
          <w:b/>
          <w:i w:val="0"/>
          <w:sz w:val="24"/>
        </w:rPr>
        <w:t>VIII. Il duplicato, la voce vuota e l'incoerenza interna</w:t>
      </w:r>
    </w:p>
    <w:p>
      <w:pPr>
        <w:spacing w:line="276" w:lineRule="auto" w:before="0" w:after="0"/>
        <w:ind w:firstLine="425"/>
        <w:jc w:val="both"/>
      </w:pPr>
      <w:r>
        <w:rPr>
          <w:rFonts w:ascii="Times New Roman" w:hAnsi="Times New Roman" w:cs="Times New Roman" w:eastAsia="Times New Roman"/>
          <w:b w:val="0"/>
          <w:i w:val="0"/>
          <w:sz w:val="24"/>
        </w:rPr>
        <w:t>La verifica ha accertato che la voce terza e la voce dodicesima recano il medesimo contenuto relativo al medesimo giorno: si tratta di un duplicato interno da eliminare. Ha inoltre accertato che la voce relativa al processo sui mandanti della strage di Bologna è priva di data, di nome e di esito, e reca soltanto l'indicazione che la sentenza è pubblicata in rete: è la voce più povera del foglio ed ha per oggetto il procedimento che stabilisce il collegamento giudiziario fra la loggia e la strage, cioè il perno dell'intera architettura dell'opera. L'intera catena processuale — l'avocazione dell'ottobre duemiladiciassette, la chiusura delle indagini dell'undici febbraio duemilaventi, il rinvio a giudizio del quindici febbraio duemilaventuno, la condanna del sei aprile duemilaventidue, la conferma dell'otto luglio duemilaventiquattro e la definitività del primo luglio duemilaventicinque — è documentata e va inserita.</w:t>
      </w:r>
    </w:p>
    <w:p>
      <w:pPr>
        <w:spacing w:line="276" w:lineRule="auto" w:before="0" w:after="0"/>
        <w:ind w:firstLine="425"/>
        <w:jc w:val="both"/>
      </w:pPr>
      <w:r>
        <w:rPr>
          <w:rFonts w:ascii="Times New Roman" w:hAnsi="Times New Roman" w:cs="Times New Roman" w:eastAsia="Times New Roman"/>
          <w:b w:val="0"/>
          <w:i w:val="0"/>
          <w:sz w:val="24"/>
        </w:rPr>
        <w:t>È stata infine accertata una incoerenza interna al foglio: la legge spagnola di amnistia è qualificata come legge nella voce trentacinquesima e come regio decreto legge nella voce trentanovesima. Si tratta del medesimo atto, ed è una legge delle Cortes. Il fatto che le due qualificazioni convivano nel medesimo foglio dimostra che nessuna revisione ha mai messo a confronto le voci fra loro. In senso opposto e favorevole va registrato che la voce sul divieto francese del millenovecentosettanta e la corrispondente voce bibliografica concordano perfettamente: il controllo incrociato interno, quando è stato possibile, ha dato un esito positivo e uno negativo.</w:t>
      </w:r>
    </w:p>
    <w:p>
      <w:pPr>
        <w:spacing w:line="276" w:lineRule="auto" w:before="280" w:after="120"/>
        <w:ind w:firstLine="0"/>
        <w:jc w:val="left"/>
      </w:pPr>
      <w:r>
        <w:rPr>
          <w:rFonts w:ascii="Times New Roman" w:hAnsi="Times New Roman" w:cs="Times New Roman" w:eastAsia="Times New Roman"/>
          <w:b/>
          <w:i w:val="0"/>
          <w:sz w:val="24"/>
        </w:rPr>
        <w:t>IX. I collegamenti interni non dichiarati</w:t>
      </w:r>
    </w:p>
    <w:p>
      <w:pPr>
        <w:spacing w:line="276" w:lineRule="auto" w:before="0" w:after="0"/>
        <w:ind w:firstLine="425"/>
        <w:jc w:val="both"/>
      </w:pPr>
      <w:r>
        <w:rPr>
          <w:rFonts w:ascii="Times New Roman" w:hAnsi="Times New Roman" w:cs="Times New Roman" w:eastAsia="Times New Roman"/>
          <w:b w:val="0"/>
          <w:i w:val="0"/>
          <w:sz w:val="24"/>
        </w:rPr>
        <w:t>La verifica ha portato alla luce almeno un collegamento fra voci del medesimo foglio che nessuna delle due dichiara, e che è di rilievo sostanziale. La causa argentina sui crimini del franchismo è formalmente delimitata fra il diciassette luglio millenovecentotrentasei e il quindici giugno millenovecentosettantasette; e il quindici giugno millenovecentosettantasette è esattamente il termine temporale entro il quale la legge di amnistia spagnola estingue la responsabilità per gli atti di intenzionalità politica. La causa estera è costruita sul perimetro identico dell'atto interno che impedisce di giudicare. Si tratta, nel linguaggio del registro federato, di un arco già disponibile e mai tracciato. Che un collegamento di questa natura giaccia inutilizzato fra due voci contigue del medesimo foglio suggerisce che l'operazione più produttiva sul repertorio non sia l'aggiunta di nuove voci ma la lettura incrociata di quelle esistenti.</w:t>
      </w:r>
    </w:p>
    <w:p>
      <w:pPr>
        <w:spacing w:line="276" w:lineRule="auto" w:before="280" w:after="120"/>
        <w:ind w:firstLine="0"/>
        <w:jc w:val="left"/>
      </w:pPr>
      <w:r>
        <w:rPr>
          <w:rFonts w:ascii="Times New Roman" w:hAnsi="Times New Roman" w:cs="Times New Roman" w:eastAsia="Times New Roman"/>
          <w:b/>
          <w:i w:val="0"/>
          <w:sz w:val="24"/>
        </w:rPr>
        <w:t>X. Che cosa il foglio fa bene</w:t>
      </w:r>
    </w:p>
    <w:p>
      <w:pPr>
        <w:spacing w:line="276" w:lineRule="auto" w:before="0" w:after="0"/>
        <w:ind w:firstLine="425"/>
        <w:jc w:val="both"/>
      </w:pPr>
      <w:r>
        <w:rPr>
          <w:rFonts w:ascii="Times New Roman" w:hAnsi="Times New Roman" w:cs="Times New Roman" w:eastAsia="Times New Roman"/>
          <w:b w:val="0"/>
          <w:i w:val="0"/>
          <w:sz w:val="24"/>
        </w:rPr>
        <w:t>Sarebbe scorretto chiudere senza registrare in forma positiva ciò che la verifica ha confermato. Il foglio è esatto nelle strutture complesse: le griglie di pene, le ripartizioni di sanzioni, gli elenchi di dichiarazioni di incompatibilità con l'indicazione dell'articolo convenzionale violato per ciascuna norma. Esso conserva, in almeno un caso, una osservazione metodologica di valore autonomo e correttamente fondata: il rilievo per cui la bicicletta impiegata nell'attentato di Bad Homburg era stata ripetutamente collocata nello stesso punto priva di esplosivo, e per questa ragione ignorata dalla scorta, si trova nella fonte con quelle stesse parole, e l'inferenza che il repertorio ne trae — la normalità costruita che nasconde, come rovescio del paradigma indiziario — è un contributo dell'autore e non una ripetizione. Il foglio, inoltre, registra correttamente alcune constatazioni negative, che secondo il metodo dell'opera hanno pieno statuto di fatto.</w:t>
      </w:r>
    </w:p>
    <w:p>
      <w:pPr>
        <w:spacing w:line="276" w:lineRule="auto" w:before="280" w:after="120"/>
        <w:ind w:firstLine="0"/>
        <w:jc w:val="left"/>
      </w:pPr>
      <w:r>
        <w:rPr>
          <w:rFonts w:ascii="Times New Roman" w:hAnsi="Times New Roman" w:cs="Times New Roman" w:eastAsia="Times New Roman"/>
          <w:b/>
          <w:i w:val="0"/>
          <w:sz w:val="24"/>
        </w:rPr>
        <w:t>XI. Conseguenze per i sei fogli restanti</w:t>
      </w:r>
    </w:p>
    <w:p>
      <w:pPr>
        <w:spacing w:line="276" w:lineRule="auto" w:before="0" w:after="0"/>
        <w:ind w:firstLine="425"/>
        <w:jc w:val="both"/>
      </w:pPr>
      <w:r>
        <w:rPr>
          <w:rFonts w:ascii="Times New Roman" w:hAnsi="Times New Roman" w:cs="Times New Roman" w:eastAsia="Times New Roman"/>
          <w:b w:val="0"/>
          <w:i w:val="0"/>
          <w:sz w:val="24"/>
        </w:rPr>
        <w:t>Il foglio verificato contiene settantatré voci su un totale di circa duecentotto. Assumendo che i difetti individuati siano distribuiti in modo omogeneo, e con la cautela imposta dalla asimmetria di verificabilità già dichiarata, sui restanti fogli è ragionevole attendersi un numero di errori di sostanza dell'ordine di sei o sette, una o due ulteriori cifre corrotte, un numero di omissioni nominali superiore a trecento, e almeno un altro duplicato interno. Nessuno di questi difetti è di natura tale da compromettere la struttura documentaria del repertorio; tutti sono di natura tale da comprometterne l'utilizzabilità come base della rete nodale.</w:t>
      </w:r>
    </w:p>
    <w:p>
      <w:pPr>
        <w:spacing w:line="276" w:lineRule="auto" w:before="0" w:after="0"/>
        <w:ind w:firstLine="425"/>
        <w:jc w:val="both"/>
      </w:pPr>
      <w:r>
        <w:rPr>
          <w:rFonts w:ascii="Times New Roman" w:hAnsi="Times New Roman" w:cs="Times New Roman" w:eastAsia="Times New Roman"/>
          <w:b w:val="0"/>
          <w:i w:val="0"/>
          <w:sz w:val="24"/>
        </w:rPr>
        <w:t>L'ordine di intervento che il bilancio suggerisce è pertanto il seguente. Precede ogni altra cosa il reinserimento dei nomi propri, che è condizione di possibilità della rete. Segue il controllo della completezza delle proposizioni citate, che è l'unico rimedio al difetto di misura descritto nella quinta sezione, e che non può essere automatizzato. Segue la ricerca per lettura dei residui numerici ibridi. Seguono l'eliminazione del duplicato, la compilazione della voce vuota sul processo bolognese e la riconciliazione dell'incoerenza sulla qualificazione della legge spagnola. Da ultimo, ma non per minore importanza, la lettura incrociata delle voci fra loro, che è l'operazione da cui è lecito attendersi il maggiore rendimento analitico e che finora non è mai stata condotta.</w:t>
      </w:r>
    </w:p>
    <w:p>
      <w:pPr>
        <w:spacing w:line="276" w:lineRule="auto" w:before="280" w:after="120"/>
        <w:ind w:firstLine="0"/>
        <w:jc w:val="left"/>
      </w:pPr>
      <w:r>
        <w:rPr>
          <w:rFonts w:ascii="Times New Roman" w:hAnsi="Times New Roman" w:cs="Times New Roman" w:eastAsia="Times New Roman"/>
          <w:b/>
          <w:i w:val="0"/>
          <w:sz w:val="24"/>
        </w:rPr>
        <w:t>XII. Nota sullo statuto del presente documento</w:t>
      </w:r>
    </w:p>
    <w:p>
      <w:pPr>
        <w:spacing w:line="276" w:lineRule="auto" w:before="0" w:after="0"/>
        <w:ind w:firstLine="425"/>
        <w:jc w:val="both"/>
      </w:pPr>
      <w:r>
        <w:rPr>
          <w:rFonts w:ascii="Times New Roman" w:hAnsi="Times New Roman" w:cs="Times New Roman" w:eastAsia="Times New Roman"/>
          <w:b w:val="0"/>
          <w:i w:val="0"/>
          <w:sz w:val="24"/>
        </w:rPr>
        <w:t>Questo bilancio è un prodotto del lavoro e non una fonte del lavoro. Esso non può essere citato a sostegno di alcuna affermazione contenuta nel repertorio, e le sue conclusioni valgono nei limiti dichiarati nella prima sezione: concordanza fra le voci e la letteratura consultabile, non fra le voci e gli atti. Le settantatré annotazioni di verifica registrate nel foglio recano ciascuna la propria data e la propria motivazione, e sono a loro volta soggette a riverifica quando gli originali diventeranno accessibili.</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