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aramond" w:cs="Garamond" w:eastAsia="Garamond" w:hAnsi="Garamond"/>
          <w:b/>
          <w:bCs/>
          <w:caps/>
          <w:sz w:val="29"/>
          <w:szCs w:val="29"/>
        </w:rPr>
        <w:t xml:space="preserve">ITALIA NERA</w:t>
      </w:r>
    </w:p>
    <w:p>
      <w:pPr>
        <w:spacing w:after="50"/>
        <w:jc w:val="center"/>
      </w:pPr>
      <w:r>
        <w:rPr>
          <w:rFonts w:ascii="Garamond" w:cs="Garamond" w:eastAsia="Garamond" w:hAnsi="Garamond"/>
          <w:b/>
          <w:bCs/>
          <w:sz w:val="24"/>
          <w:szCs w:val="24"/>
        </w:rPr>
        <w:t xml:space="preserve">PIANO DELL’OPERA — TERZA ARCHITETTURA</w:t>
      </w:r>
    </w:p>
    <w:p>
      <w:pPr>
        <w:spacing w:after="250"/>
        <w:jc w:val="center"/>
      </w:pPr>
      <w:r>
        <w:rPr>
          <w:rFonts w:ascii="Garamond" w:cs="Garamond" w:eastAsia="Garamond" w:hAnsi="Garamond"/>
          <w:i/>
          <w:iCs/>
          <w:sz w:val="20"/>
          <w:szCs w:val="20"/>
        </w:rPr>
        <w:t xml:space="preserve">Redatto dopo l’espunzione del Volume Zero e la sospensione dei gradi — 5 agosto 2026, sera</w:t>
      </w:r>
    </w:p>
    <w:p>
      <w:pPr>
        <w:pBdr>
          <w:bottom w:val="single" w:color="999999" w:sz="6"/>
        </w:pBdr>
        <w:spacing w:after="240"/>
      </w:pPr>
      <w:r>
        <w:rPr>
          <w:rFonts w:ascii="Garamond" w:cs="Garamond" w:eastAsia="Garamond" w:hAnsi="Garamond"/>
          <w:sz w:val="22"/>
          <w:szCs w:val="22"/>
        </w:rPr>
        <w:t xml:space="preserve"/>
      </w:r>
    </w:p>
    <w:p>
      <w:pPr>
        <w:pStyle w:val="Heading1"/>
        <w:spacing w:after="180" w:before="360"/>
      </w:pPr>
      <w:r>
        <w:rPr>
          <w:rFonts w:ascii="Garamond" w:cs="Garamond" w:eastAsia="Garamond" w:hAnsi="Garamond"/>
          <w:b/>
          <w:bCs/>
          <w:sz w:val="25"/>
          <w:szCs w:val="25"/>
        </w:rPr>
        <w:t xml:space="preserve">I. Perché l’architettura va rifatta</w:t>
      </w:r>
    </w:p>
    <w:p>
      <w:pPr>
        <w:spacing w:after="160" w:line="310"/>
        <w:jc w:val="both"/>
      </w:pPr>
      <w:r>
        <w:rPr>
          <w:rFonts w:ascii="Garamond" w:cs="Garamond" w:eastAsia="Garamond" w:hAnsi="Garamond"/>
          <w:sz w:val="22"/>
          <w:szCs w:val="22"/>
        </w:rPr>
        <w:t xml:space="preserve">L’opera consta oggi di circa settantamila parole distribuite su una quarantina di unità. La quasi totalità fu concepita entro un’architettura a cerchi concentrici che irradiava dall’Italia verso il mondo attorno a una proposizione centrale: la convergenza fra le 2 potenze contro l’unificazione europea.</w:t>
      </w:r>
    </w:p>
    <w:p>
      <w:pPr>
        <w:spacing w:after="160" w:line="310"/>
        <w:ind w:firstLine="425"/>
        <w:jc w:val="both"/>
      </w:pPr>
      <w:r>
        <w:rPr>
          <w:rFonts w:ascii="Garamond" w:cs="Garamond" w:eastAsia="Garamond" w:hAnsi="Garamond"/>
          <w:sz w:val="22"/>
          <w:szCs w:val="22"/>
        </w:rPr>
        <w:t xml:space="preserve">Quella proposizione è stata sottoposta a prova e confutata nella parte in cui era misurabile. Ne segue che l’architettura non può restare in piedi: non perché i materiali siano invalidi — la maggior parte lo è rimasta — ma perché la loro disposizione comunicava una tesi che l’opera non sostiene più. Un’opera che conservasse l’ordinamento vecchio con le conclusioni nuove direbbe 2 cose diverse nella forma e nel contenuto, e il lettore crederebbe alla forma.</w:t>
      </w:r>
    </w:p>
    <w:p>
      <w:pPr>
        <w:spacing w:after="140" w:line="305"/>
        <w:jc w:val="both"/>
      </w:pPr>
      <w:r>
        <w:rPr>
          <w:rFonts w:ascii="Garamond" w:cs="Garamond" w:eastAsia="Garamond" w:hAnsi="Garamond"/>
          <w:b/>
          <w:bCs/>
          <w:sz w:val="22"/>
          <w:szCs w:val="22"/>
        </w:rPr>
        <w:t xml:space="preserve">Il principio della nuova architettura è questo: l’opera non si organizza attorno a una tesi ma attorno a un grado di accertamento. Ciò che è provato sta al centro; ciò che è documentato ma non concluso sta attorno; ciò che è dichiarato aperto sta in fondo, ed è nominato.</w:t>
      </w:r>
    </w:p>
    <w:p>
      <w:pPr>
        <w:pStyle w:val="Heading1"/>
        <w:spacing w:after="180" w:before="360"/>
      </w:pPr>
      <w:r>
        <w:rPr>
          <w:rFonts w:ascii="Garamond" w:cs="Garamond" w:eastAsia="Garamond" w:hAnsi="Garamond"/>
          <w:b/>
          <w:bCs/>
          <w:sz w:val="25"/>
          <w:szCs w:val="25"/>
        </w:rPr>
        <w:t xml:space="preserve">II. La nuova spina dorsale</w:t>
      </w:r>
    </w:p>
    <w:p>
      <w:pPr>
        <w:spacing w:after="130" w:before="240"/>
      </w:pPr>
      <w:r>
        <w:rPr>
          <w:rFonts w:ascii="Garamond" w:cs="Garamond" w:eastAsia="Garamond" w:hAnsi="Garamond"/>
          <w:b/>
          <w:bCs/>
          <w:sz w:val="22"/>
          <w:szCs w:val="22"/>
        </w:rPr>
        <w:t xml:space="preserve">Libro Primo — Il metodo, e ciò che esso ha distrutto</w:t>
      </w:r>
    </w:p>
    <w:p>
      <w:pPr>
        <w:spacing w:after="160" w:line="310"/>
        <w:jc w:val="both"/>
      </w:pPr>
      <w:r>
        <w:rPr>
          <w:rFonts w:ascii="Garamond" w:cs="Garamond" w:eastAsia="Garamond" w:hAnsi="Garamond"/>
          <w:sz w:val="22"/>
          <w:szCs w:val="22"/>
        </w:rPr>
        <w:t xml:space="preserve">Si apre con il capitolo che confuta la tesi originaria, non con quello che espone il metodo in astratto. Un lettore che veda l’opera abbattere il proprio argomento più forte in apertura concederà credito a tutto ciò che segue; un lettore che riceva prima le regole e poi i risultati sospetterà che le regole siano state scritte dopo. Contiene: il capitolo pivotale; la nota metodologica in edizione corretta; la tassonomia a 3 assi; il repertorio in appendice.</w:t>
      </w:r>
    </w:p>
    <w:p>
      <w:pPr>
        <w:spacing w:after="130" w:before="240"/>
      </w:pPr>
      <w:r>
        <w:rPr>
          <w:rFonts w:ascii="Garamond" w:cs="Garamond" w:eastAsia="Garamond" w:hAnsi="Garamond"/>
          <w:b/>
          <w:bCs/>
          <w:sz w:val="22"/>
          <w:szCs w:val="22"/>
        </w:rPr>
        <w:t xml:space="preserve">Libro Secondo — Ciò che è stato accertato e non sanzionato</w:t>
      </w:r>
    </w:p>
    <w:p>
      <w:pPr>
        <w:spacing w:after="160" w:line="310"/>
        <w:jc w:val="both"/>
      </w:pPr>
      <w:r>
        <w:rPr>
          <w:rFonts w:ascii="Garamond" w:cs="Garamond" w:eastAsia="Garamond" w:hAnsi="Garamond"/>
          <w:sz w:val="22"/>
          <w:szCs w:val="22"/>
        </w:rPr>
        <w:t xml:space="preserve">È il centro dell’opera e la sua parte più solida. Raccoglie i casi in cui una sede dello Stato ha accertato un fatto senza che ne seguisse una conseguenza: la difesa psicologica, l’arco di sponda fra apparato e militanza, le logge sfuggite al controllo, le stragi accertate e impunite. Ogni capitolo si chiude con la sede che ha accertato e con la ragione per cui la catena si è interrotta.</w:t>
      </w:r>
    </w:p>
    <w:p>
      <w:pPr>
        <w:spacing w:after="130" w:before="240"/>
      </w:pPr>
      <w:r>
        <w:rPr>
          <w:rFonts w:ascii="Garamond" w:cs="Garamond" w:eastAsia="Garamond" w:hAnsi="Garamond"/>
          <w:b/>
          <w:bCs/>
          <w:sz w:val="22"/>
          <w:szCs w:val="22"/>
        </w:rPr>
        <w:t xml:space="preserve">Libro Terzo — La misura</w:t>
      </w:r>
    </w:p>
    <w:p>
      <w:pPr>
        <w:spacing w:after="160" w:line="310"/>
        <w:jc w:val="both"/>
      </w:pPr>
      <w:r>
        <w:rPr>
          <w:rFonts w:ascii="Garamond" w:cs="Garamond" w:eastAsia="Garamond" w:hAnsi="Garamond"/>
          <w:sz w:val="22"/>
          <w:szCs w:val="22"/>
        </w:rPr>
        <w:t xml:space="preserve">Riunisce ciò che l’opera ha contato anziché argomentato: la successione numerica dell’elenco del millenovecentottantuno e la sua struttura territoriale; il blocco sudamericano; il conteggio con criterio dichiarato; il test di densità e la sua verifica di robustezza. È la parte più breve e la più difficile da confutare, poiché chi volesse abbatterla dovrebbe rifare i calcoli.</w:t>
      </w:r>
    </w:p>
    <w:p>
      <w:pPr>
        <w:spacing w:after="130" w:before="240"/>
      </w:pPr>
      <w:r>
        <w:rPr>
          <w:rFonts w:ascii="Garamond" w:cs="Garamond" w:eastAsia="Garamond" w:hAnsi="Garamond"/>
          <w:b/>
          <w:bCs/>
          <w:sz w:val="22"/>
          <w:szCs w:val="22"/>
        </w:rPr>
        <w:t xml:space="preserve">Libro Quarto — Le linee lunghe</w:t>
      </w:r>
    </w:p>
    <w:p>
      <w:pPr>
        <w:spacing w:after="160" w:line="310"/>
        <w:jc w:val="both"/>
      </w:pPr>
      <w:r>
        <w:rPr>
          <w:rFonts w:ascii="Garamond" w:cs="Garamond" w:eastAsia="Garamond" w:hAnsi="Garamond"/>
          <w:sz w:val="22"/>
          <w:szCs w:val="22"/>
        </w:rPr>
        <w:t xml:space="preserve">Contiene ciò che attraversa le rotture di regime: le istituzioni che sopravvivono agli Stati che le ospitano, il rapporto fra autorità religiosa e associazione iniziatica, l’antecedente medievale della soppressione senza condanna. Il criterio di inclusione è la continuità documentata, non l’anteriorità né la profondità presunta.</w:t>
      </w:r>
    </w:p>
    <w:p>
      <w:pPr>
        <w:spacing w:after="130" w:before="240"/>
      </w:pPr>
      <w:r>
        <w:rPr>
          <w:rFonts w:ascii="Garamond" w:cs="Garamond" w:eastAsia="Garamond" w:hAnsi="Garamond"/>
          <w:b/>
          <w:bCs/>
          <w:sz w:val="22"/>
          <w:szCs w:val="22"/>
        </w:rPr>
        <w:t xml:space="preserve">Libro Quinto — Il presente</w:t>
      </w:r>
    </w:p>
    <w:p>
      <w:pPr>
        <w:spacing w:after="160" w:line="310"/>
        <w:jc w:val="both"/>
      </w:pPr>
      <w:r>
        <w:rPr>
          <w:rFonts w:ascii="Garamond" w:cs="Garamond" w:eastAsia="Garamond" w:hAnsi="Garamond"/>
          <w:sz w:val="22"/>
          <w:szCs w:val="22"/>
        </w:rPr>
        <w:t xml:space="preserve">Applica il metodo agli anni recenti con i divieti già stabiliti: non scrivere ciò che nessuna sede ha accertato, non attribuire per discendenza politica, dichiarare dove e perché la catena si interrompe. È la parte che invecchierà più in fretta ed è quella per cui il metodo è stato costruito.</w:t>
      </w:r>
    </w:p>
    <w:p>
      <w:pPr>
        <w:spacing w:after="130" w:before="240"/>
      </w:pPr>
      <w:r>
        <w:rPr>
          <w:rFonts w:ascii="Garamond" w:cs="Garamond" w:eastAsia="Garamond" w:hAnsi="Garamond"/>
          <w:b/>
          <w:bCs/>
          <w:sz w:val="22"/>
          <w:szCs w:val="22"/>
        </w:rPr>
        <w:t xml:space="preserve">Libro Sesto — Il caso Moro</w:t>
      </w:r>
    </w:p>
    <w:p>
      <w:pPr>
        <w:spacing w:after="160" w:line="310"/>
        <w:jc w:val="both"/>
      </w:pPr>
      <w:r>
        <w:rPr>
          <w:rFonts w:ascii="Garamond" w:cs="Garamond" w:eastAsia="Garamond" w:hAnsi="Garamond"/>
          <w:sz w:val="22"/>
          <w:szCs w:val="22"/>
        </w:rPr>
        <w:t xml:space="preserve">Resta unità autonoma e conserva la propria architettura interna, che non dipendeva dalla tesi abbandonata. Va però collocato dopo il Libro Secondo e non in apertura, perché è il caso più studiato e il meno adatto a introdurre un metodo: il lettore vi porta convinzioni proprie che ostacolano la lettura delle regole.</w:t>
      </w:r>
    </w:p>
    <w:p>
      <w:pPr>
        <w:pStyle w:val="Heading1"/>
        <w:spacing w:after="180" w:before="360"/>
      </w:pPr>
      <w:r>
        <w:rPr>
          <w:rFonts w:ascii="Garamond" w:cs="Garamond" w:eastAsia="Garamond" w:hAnsi="Garamond"/>
          <w:b/>
          <w:bCs/>
          <w:sz w:val="25"/>
          <w:szCs w:val="25"/>
        </w:rPr>
        <w:t xml:space="preserve">III. Che cosa sopravvive, che cosa è stato sospeso, che cosa è stato espunto</w:t>
      </w:r>
    </w:p>
    <w:p>
      <w:pPr>
        <w:spacing w:after="140" w:line="305"/>
        <w:jc w:val="both"/>
      </w:pPr>
      <w:r>
        <w:rPr>
          <w:rFonts w:ascii="Garamond" w:cs="Garamond" w:eastAsia="Garamond" w:hAnsi="Garamond"/>
          <w:b/>
          <w:bCs/>
          <w:sz w:val="22"/>
          <w:szCs w:val="22"/>
        </w:rPr>
        <w:t xml:space="preserve">Sopravvive senza modifiche, per misurazione e non per presunzione</w:t>
      </w:r>
    </w:p>
    <w:p>
      <w:pPr>
        <w:spacing w:after="110" w:line="295"/>
        <w:ind w:left="454" w:hanging="227"/>
        <w:jc w:val="both"/>
      </w:pPr>
      <w:r>
        <w:rPr>
          <w:rFonts w:ascii="Garamond" w:cs="Garamond" w:eastAsia="Garamond" w:hAnsi="Garamond"/>
          <w:sz w:val="22"/>
          <w:szCs w:val="22"/>
        </w:rPr>
        <w:t xml:space="preserve">— L’intero corpo del caso Moro, 20 unità e 43.615 parole, e le tredici versioni del registro analitico che lo accompagnano. La misurazione ha stabilito che non recano alcuna delle firme rilevate altrove e nessuna valutazione probatoria: non vi è nulla da sospendere perché nulla vi è stato apposto.</w:t>
      </w:r>
    </w:p>
    <w:p>
      <w:pPr>
        <w:spacing w:after="110" w:line="295"/>
        <w:ind w:left="454" w:hanging="227"/>
        <w:jc w:val="both"/>
      </w:pPr>
      <w:r>
        <w:rPr>
          <w:rFonts w:ascii="Garamond" w:cs="Garamond" w:eastAsia="Garamond" w:hAnsi="Garamond"/>
          <w:sz w:val="22"/>
          <w:szCs w:val="22"/>
        </w:rPr>
        <w:t xml:space="preserve">— I nove capitoli dimostrativi e di fondazione, per 18.142 parole, ciascuno con graduazione dichiarata per singola affermazione.</w:t>
      </w:r>
    </w:p>
    <w:p>
      <w:pPr>
        <w:spacing w:after="110" w:line="295"/>
        <w:ind w:left="454" w:hanging="227"/>
        <w:jc w:val="both"/>
      </w:pPr>
      <w:r>
        <w:rPr>
          <w:rFonts w:ascii="Garamond" w:cs="Garamond" w:eastAsia="Garamond" w:hAnsi="Garamond"/>
          <w:sz w:val="22"/>
          <w:szCs w:val="22"/>
        </w:rPr>
        <w:t xml:space="preserve">— Il repertorio delle fonti, 276 voci su sette fogli, che è uno strumento e non un argomento, e che resta la sola sede dell’opera in cui un grado significhi qualcosa.</w:t>
      </w:r>
    </w:p>
    <w:p>
      <w:pPr>
        <w:spacing w:after="140" w:line="305"/>
        <w:jc w:val="both"/>
      </w:pPr>
      <w:r>
        <w:rPr>
          <w:rFonts w:ascii="Garamond" w:cs="Garamond" w:eastAsia="Garamond" w:hAnsi="Garamond"/>
          <w:b/>
          <w:bCs/>
          <w:sz w:val="22"/>
          <w:szCs w:val="22"/>
        </w:rPr>
        <w:t xml:space="preserve">È stato sospeso</w:t>
      </w:r>
    </w:p>
    <w:p>
      <w:pPr>
        <w:spacing w:after="110" w:line="295"/>
        <w:ind w:left="454" w:hanging="227"/>
        <w:jc w:val="both"/>
      </w:pPr>
      <w:r>
        <w:rPr>
          <w:rFonts w:ascii="Garamond" w:cs="Garamond" w:eastAsia="Garamond" w:hAnsi="Garamond"/>
          <w:sz w:val="22"/>
          <w:szCs w:val="22"/>
        </w:rPr>
        <w:t xml:space="preserve">— Le 4.946 valutazioni probatorie residue del Registro Unico Federato, sostituite da un marcatore che ne conserva il valore originario ai fini del ripristino individuale. La sospensione non cancella alcuna affermazione: cancella un attributo che, ricorrendo al livello massimo nel 93 per cento dei casi, non distingueva nulla.</w:t>
      </w:r>
    </w:p>
    <w:p>
      <w:pPr>
        <w:spacing w:after="140" w:line="305"/>
        <w:jc w:val="both"/>
      </w:pPr>
      <w:r>
        <w:rPr>
          <w:rFonts w:ascii="Garamond" w:cs="Garamond" w:eastAsia="Garamond" w:hAnsi="Garamond"/>
          <w:b/>
          <w:bCs/>
          <w:sz w:val="22"/>
          <w:szCs w:val="22"/>
        </w:rPr>
        <w:t xml:space="preserve">È stato espunto</w:t>
      </w:r>
    </w:p>
    <w:p>
      <w:pPr>
        <w:spacing w:after="110" w:line="295"/>
        <w:ind w:left="454" w:hanging="227"/>
        <w:jc w:val="both"/>
      </w:pPr>
      <w:r>
        <w:rPr>
          <w:rFonts w:ascii="Garamond" w:cs="Garamond" w:eastAsia="Garamond" w:hAnsi="Garamond"/>
          <w:sz w:val="22"/>
          <w:szCs w:val="22"/>
        </w:rPr>
        <w:t xml:space="preserve">— Il Volume Zero, 329 paragrafi contigui per 54.421 parole, contenente 361 valutazioni di livello A, 26 di livello B e nessuna di livello C. L’espunzione è materiale e dichiarata nel punto in cui è avvenuta; il materiale è conservato integralmente come reperto della lavorazione.</w:t>
      </w:r>
    </w:p>
    <w:p>
      <w:pPr>
        <w:spacing w:after="140" w:line="305"/>
        <w:jc w:val="both"/>
      </w:pPr>
      <w:r>
        <w:rPr>
          <w:rFonts w:ascii="Garamond" w:cs="Garamond" w:eastAsia="Garamond" w:hAnsi="Garamond"/>
          <w:b/>
          <w:bCs/>
          <w:sz w:val="22"/>
          <w:szCs w:val="22"/>
        </w:rPr>
        <w:t xml:space="preserve">Resta da riqualificare</w:t>
      </w:r>
    </w:p>
    <w:p>
      <w:pPr>
        <w:spacing w:after="110" w:line="295"/>
        <w:ind w:left="454" w:hanging="227"/>
        <w:jc w:val="both"/>
      </w:pPr>
      <w:r>
        <w:rPr>
          <w:rFonts w:ascii="Garamond" w:cs="Garamond" w:eastAsia="Garamond" w:hAnsi="Garamond"/>
          <w:sz w:val="22"/>
          <w:szCs w:val="22"/>
        </w:rPr>
        <w:t xml:space="preserve">— Le monografie sull’asse continentale e sui rapporti con il regime sudafricano: valide come raccolta, da riordinare secondo il grado di accertamento e non secondo il paese, e da sottoporre alla medesima diagnostica.</w:t>
      </w:r>
    </w:p>
    <w:p>
      <w:pPr>
        <w:spacing w:after="110" w:line="295"/>
        <w:ind w:left="454" w:hanging="227"/>
        <w:jc w:val="both"/>
      </w:pPr>
      <w:r>
        <w:rPr>
          <w:rFonts w:ascii="Garamond" w:cs="Garamond" w:eastAsia="Garamond" w:hAnsi="Garamond"/>
          <w:sz w:val="22"/>
          <w:szCs w:val="22"/>
        </w:rPr>
        <w:t xml:space="preserve">— Ogni cifra riassuntiva finora citata da fonte secondaria, che va ricontata dichiarando il criterio.</w:t>
      </w:r>
    </w:p>
    <w:p>
      <w:pPr>
        <w:spacing w:after="140" w:line="305"/>
        <w:jc w:val="both"/>
      </w:pPr>
      <w:r>
        <w:rPr>
          <w:rFonts w:ascii="Garamond" w:cs="Garamond" w:eastAsia="Garamond" w:hAnsi="Garamond"/>
          <w:b/>
          <w:bCs/>
          <w:sz w:val="22"/>
          <w:szCs w:val="22"/>
        </w:rPr>
        <w:t xml:space="preserve">È caduto</w:t>
      </w:r>
    </w:p>
    <w:p>
      <w:pPr>
        <w:spacing w:after="110" w:line="295"/>
        <w:ind w:left="454" w:hanging="227"/>
        <w:jc w:val="both"/>
      </w:pPr>
      <w:r>
        <w:rPr>
          <w:rFonts w:ascii="Garamond" w:cs="Garamond" w:eastAsia="Garamond" w:hAnsi="Garamond"/>
          <w:sz w:val="22"/>
          <w:szCs w:val="22"/>
        </w:rPr>
        <w:t xml:space="preserve">— L’impianto a cerchi concentrici, che era la forma della tesi confutata; ogni argomento fondato sulla coincidenza temporale con il calendario dell’integrazione; la gerarchia fra i domini, sostituita dalla rete multilivello; ogni attribuzione per discendenza, familiare o politica.</w:t>
      </w:r>
    </w:p>
    <w:p>
      <w:pPr>
        <w:pStyle w:val="Heading1"/>
        <w:spacing w:after="180" w:before="360"/>
      </w:pPr>
      <w:r>
        <w:rPr>
          <w:rFonts w:ascii="Garamond" w:cs="Garamond" w:eastAsia="Garamond" w:hAnsi="Garamond"/>
          <w:b/>
          <w:bCs/>
          <w:sz w:val="25"/>
          <w:szCs w:val="25"/>
        </w:rPr>
        <w:t xml:space="preserve">IV. L’ordine dei lavori</w:t>
      </w:r>
    </w:p>
    <w:p>
      <w:pPr>
        <w:spacing w:after="160" w:line="310"/>
        <w:jc w:val="both"/>
      </w:pPr>
      <w:r>
        <w:rPr>
          <w:rFonts w:ascii="Garamond" w:cs="Garamond" w:eastAsia="Garamond" w:hAnsi="Garamond"/>
          <w:sz w:val="22"/>
          <w:szCs w:val="22"/>
        </w:rPr>
        <w:t xml:space="preserve">Dei quattro punti previsti dalla seconda architettura, i primi due sono stati esercitati e il terzo lo è in parte. Quel che segue è l’ordine aggiornato, e non coincide con l’ordine dell’esposizione.</w:t>
      </w:r>
    </w:p>
    <w:p>
      <w:pPr>
        <w:spacing w:after="110" w:line="295"/>
        <w:ind w:left="454" w:hanging="227"/>
        <w:jc w:val="both"/>
      </w:pPr>
      <w:r>
        <w:rPr>
          <w:rFonts w:ascii="Garamond" w:cs="Garamond" w:eastAsia="Garamond" w:hAnsi="Garamond"/>
          <w:sz w:val="22"/>
          <w:szCs w:val="22"/>
        </w:rPr>
        <w:t xml:space="preserve">Primo. Applicare la medesima diagnostica alle monografie e alle raccolte non ancora misurate, prima di attingervi. Il criterio è stabilito: densità delle formule generative, presenza di lessico estraneo alla lingua del testo, distribuzione dei gradi probatori.</w:t>
      </w:r>
    </w:p>
    <w:p>
      <w:pPr>
        <w:spacing w:after="110" w:line="295"/>
        <w:ind w:left="454" w:hanging="227"/>
        <w:jc w:val="both"/>
      </w:pPr>
      <w:r>
        <w:rPr>
          <w:rFonts w:ascii="Garamond" w:cs="Garamond" w:eastAsia="Garamond" w:hAnsi="Garamond"/>
          <w:sz w:val="22"/>
          <w:szCs w:val="22"/>
        </w:rPr>
        <w:t xml:space="preserve">Secondo. Interrogare le due fonti individuate e non ancora raggiunte: il fondo del servizio informativo brasiliano presso l’archivio nazionale, che spiegherebbe il blocco delle diciotto affiliazioni; e la corrispondenza fra il capo della loggia e la massoneria argentina, conservata presso le biblioteche del Parlamento italiano, che richiede accesso in sede.</w:t>
      </w:r>
    </w:p>
    <w:p>
      <w:pPr>
        <w:spacing w:after="110" w:line="295"/>
        <w:ind w:left="454" w:hanging="227"/>
        <w:jc w:val="both"/>
      </w:pPr>
      <w:r>
        <w:rPr>
          <w:rFonts w:ascii="Garamond" w:cs="Garamond" w:eastAsia="Garamond" w:hAnsi="Garamond"/>
          <w:sz w:val="22"/>
          <w:szCs w:val="22"/>
        </w:rPr>
        <w:t xml:space="preserve">Terzo. Chiudere le pendenze residue elencate nell’audit: le discrepanze di cifra e di attribuzione, che a differenza di quelle di data non si risolvono con un atto solo.</w:t>
      </w:r>
    </w:p>
    <w:p>
      <w:pPr>
        <w:spacing w:after="110" w:line="295"/>
        <w:ind w:left="454" w:hanging="227"/>
        <w:jc w:val="both"/>
      </w:pPr>
      <w:r>
        <w:rPr>
          <w:rFonts w:ascii="Garamond" w:cs="Garamond" w:eastAsia="Garamond" w:hAnsi="Garamond"/>
          <w:sz w:val="22"/>
          <w:szCs w:val="22"/>
        </w:rPr>
        <w:t xml:space="preserve">Quarto, e soltanto dopo, i capitoli mancanti.</w:t>
      </w:r>
    </w:p>
    <w:p>
      <w:pPr>
        <w:spacing w:after="160" w:line="310"/>
        <w:ind w:firstLine="425"/>
        <w:jc w:val="both"/>
      </w:pPr>
      <w:r>
        <w:rPr>
          <w:rFonts w:ascii="Garamond" w:cs="Garamond" w:eastAsia="Garamond" w:hAnsi="Garamond"/>
          <w:sz w:val="22"/>
          <w:szCs w:val="22"/>
        </w:rPr>
        <w:t xml:space="preserve">L’ordine è vincolante nel senso che l’inversione dei primi tre punti con il quarto è il modo tipico in cui un’opera di questo genere si guasta: si aggiungono capitoli sopra fondamenta non misurate, e quando la misura arriva costa più riscrivere che ricominciare. La giornata odierna ne è la dimostrazione: la diagnostica applicata a 49.536 parole ne ha rese inutilizzabili 54.421, e sarebbe costata meno se applicata prima che quel materiale fosse incorporato quattro volte.</w:t>
      </w:r>
    </w:p>
    <w:p>
      <w:pPr>
        <w:pStyle w:val="Heading1"/>
        <w:spacing w:after="180" w:before="360"/>
      </w:pPr>
      <w:r>
        <w:rPr>
          <w:rFonts w:ascii="Garamond" w:cs="Garamond" w:eastAsia="Garamond" w:hAnsi="Garamond"/>
          <w:b/>
          <w:bCs/>
          <w:sz w:val="25"/>
          <w:szCs w:val="25"/>
        </w:rPr>
        <w:t xml:space="preserve">V. La regola che governa tutta l’architettura</w:t>
      </w:r>
    </w:p>
    <w:p>
      <w:pPr>
        <w:spacing w:after="160" w:line="310"/>
        <w:jc w:val="both"/>
      </w:pPr>
      <w:r>
        <w:rPr>
          <w:rFonts w:ascii="Garamond" w:cs="Garamond" w:eastAsia="Garamond" w:hAnsi="Garamond"/>
          <w:sz w:val="22"/>
          <w:szCs w:val="22"/>
        </w:rPr>
        <w:t xml:space="preserve">Ogni affermazione porta con sé 3 cose: la sede che l’ha accertata, il grado dell’accertamento, e ciò che sarebbe necessario per confutarla. Un’affermazione priva anche di una sola delle 3 non entra nel testo, per quanto sia suggestiva e per quanto la si creda vera.</w:t>
      </w:r>
    </w:p>
    <w:p>
      <w:pPr>
        <w:spacing w:after="160" w:line="310"/>
        <w:ind w:firstLine="425"/>
        <w:jc w:val="both"/>
      </w:pPr>
      <w:r>
        <w:rPr>
          <w:rFonts w:ascii="Garamond" w:cs="Garamond" w:eastAsia="Garamond" w:hAnsi="Garamond"/>
          <w:sz w:val="22"/>
          <w:szCs w:val="22"/>
        </w:rPr>
        <w:t xml:space="preserve">E la regola che ne discende per le lacune: esse vanno scritte nel testo e non relegate nelle note. Un’opera che elenca ciò che non sa è più difficile da attaccare di una che lo nasconde, perché toglie all’avversario la sola arma che funziona sempre, che è mostrare al lettore una lacuna che l’autore aveva taciuto.</w:t>
      </w:r>
    </w:p>
    <w:p>
      <w:pPr>
        <w:pBdr>
          <w:bottom w:val="single" w:color="999999" w:sz="6"/>
        </w:pBdr>
        <w:spacing w:after="240"/>
      </w:pPr>
      <w:r>
        <w:rPr>
          <w:rFonts w:ascii="Garamond" w:cs="Garamond" w:eastAsia="Garamond" w:hAnsi="Garamond"/>
          <w:sz w:val="22"/>
          <w:szCs w:val="22"/>
        </w:rPr>
        <w:t xml:space="preserve"/>
      </w:r>
    </w:p>
    <w:p>
      <w:pPr>
        <w:spacing w:before="180"/>
        <w:jc w:val="both"/>
      </w:pPr>
      <w:r>
        <w:rPr>
          <w:rFonts w:ascii="Garamond" w:cs="Garamond" w:eastAsia="Garamond" w:hAnsi="Garamond"/>
          <w:i/>
          <w:iCs/>
          <w:sz w:val="22"/>
          <w:szCs w:val="22"/>
        </w:rPr>
        <w:t xml:space="preserve">Questo piano è esso stesso datato e falsificabile. Andrà rifatto quando una prova ne abbatterà un’altra parte, e il fatto che ciò sia previsto è la differenza fra un’architettura e una fortificazione.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2026-08-05T17:13:56.065Z</dcterms:created>
  <dcterms:modified xsi:type="dcterms:W3CDTF">2026-08-05T17:13:56.076Z</dcterms:modified>
</cp:coreProperties>
</file>

<file path=docProps/custom.xml><?xml version="1.0" encoding="utf-8"?>
<Properties xmlns="http://schemas.openxmlformats.org/officeDocument/2006/custom-properties" xmlns:vt="http://schemas.openxmlformats.org/officeDocument/2006/docPropsVTypes"/>
</file>