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before="0"/>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Analisi Strutturale di Due Documenti Caricati</w:t>
      </w:r>
    </w:p>
    <w:p>
      <w:pPr>
        <w:spacing w:after="200" w:line="276" w:lineRule="auto"/>
        <w:jc w:val="center"/>
      </w:pPr>
      <w:r>
        <w:rPr>
          <w:rFonts w:ascii="Times New Roman" w:hAnsi="Times New Roman" w:cs="Times New Roman" w:eastAsia="Times New Roman"/>
          <w:b w:val="0"/>
          <w:i/>
          <w:caps w:val="0"/>
          <w:sz w:val="28"/>
        </w:rPr>
        <w:t>Diagnosi di provenienza, portata e qualità — nessuna estrazione nominativa</w:t>
      </w:r>
    </w:p>
    <w:p>
      <w:pPr>
        <w:spacing w:after="200" w:line="276" w:lineRule="auto"/>
        <w:jc w:val="center"/>
      </w:pPr>
      <w:r>
        <w:rPr>
          <w:rFonts w:ascii="Times New Roman" w:hAnsi="Times New Roman" w:cs="Times New Roman" w:eastAsia="Times New Roman"/>
          <w:b w:val="0"/>
          <w:i/>
          <w:caps w:val="0"/>
          <w:sz w:val="28"/>
        </w:rPr>
        <w:t>Verifica preliminare alla decisione di non utilizzo come fonte del corpus</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jc w:val="left"/>
      </w:pPr>
      <w:r>
        <w:rPr>
          <w:rFonts w:ascii="Times New Roman" w:hAnsi="Times New Roman" w:cs="Times New Roman" w:eastAsia="Times New Roman"/>
          <w:b/>
          <w:i w:val="0"/>
          <w:caps w:val="0"/>
          <w:sz w:val="30"/>
        </w:rPr>
        <w:t>Parte Prima — Oggetto e limite dichiarato dell'analisi</w:t>
      </w:r>
    </w:p>
    <w:p>
      <w:pPr>
        <w:spacing w:after="120" w:line="276" w:lineRule="auto"/>
        <w:ind w:firstLine="425"/>
        <w:jc w:val="both"/>
      </w:pPr>
      <w:r>
        <w:rPr>
          <w:rFonts w:ascii="Times New Roman" w:hAnsi="Times New Roman" w:cs="Times New Roman" w:eastAsia="Times New Roman"/>
          <w:b w:val="0"/>
          <w:i w:val="0"/>
          <w:caps w:val="0"/>
          <w:sz w:val="24"/>
        </w:rPr>
        <w:t>Sono stati caricati due file, denominati rispettivamente elenco-massoni-italiani.pdf e Massoneria-Elenco-elenchi-nomi-Massoni-Italiani.pdf, di trecentootto e duemiladuecentosei pagine. Il presente documento ne riporta un'analisi strutturale e statistica aggregata, condotta senza estrarre né riprodurre alcun nominativo individuale, in applicazione della decisione già motivata di non trattare questi file come fonte accertata per il corpus.</w:t>
      </w:r>
    </w:p>
    <w:p>
      <w:pPr>
        <w:spacing w:after="120" w:line="276" w:lineRule="auto"/>
        <w:ind w:firstLine="425"/>
        <w:jc w:val="both"/>
      </w:pPr>
      <w:r>
        <w:rPr>
          <w:rFonts w:ascii="Times New Roman" w:hAnsi="Times New Roman" w:cs="Times New Roman" w:eastAsia="Times New Roman"/>
          <w:b w:val="0"/>
          <w:i w:val="0"/>
          <w:caps w:val="0"/>
          <w:sz w:val="24"/>
        </w:rPr>
        <w:t>La ragione di questa decisione resta quella enunciata in sede di prima verifica e va qui ribadita in forma sintetica. Nessuno dei due file reca intestazione, data di compilazione, riferimento a un'operazione giudiziaria o amministrativa identificabile, o qualunque marcatura che ne consenta la riconduzione a una fonte verificabile. Un'analisi che si limitasse a contarne le proprietà aggregate, senza mai isolare un singolo nominativo, non comporta invece alcun rischio di attribuzione indebita e costituisce l'unico uso di questo materiale compatibile con la disciplina del corpus.</w:t>
      </w:r>
    </w:p>
    <w:p>
      <w:pPr>
        <w:keepNext/>
        <w:spacing w:after="240" w:line="276" w:lineRule="auto" w:before="480"/>
        <w:jc w:val="left"/>
      </w:pPr>
      <w:r>
        <w:rPr>
          <w:rFonts w:ascii="Times New Roman" w:hAnsi="Times New Roman" w:cs="Times New Roman" w:eastAsia="Times New Roman"/>
          <w:b/>
          <w:i w:val="0"/>
          <w:caps w:val="0"/>
          <w:sz w:val="30"/>
        </w:rPr>
        <w:t>Parte Seconda — Identità dei due file</w:t>
      </w:r>
    </w:p>
    <w:p>
      <w:pPr>
        <w:spacing w:after="120" w:line="276" w:lineRule="auto"/>
        <w:ind w:firstLine="425"/>
        <w:jc w:val="both"/>
      </w:pPr>
      <w:r>
        <w:rPr>
          <w:rFonts w:ascii="Times New Roman" w:hAnsi="Times New Roman" w:cs="Times New Roman" w:eastAsia="Times New Roman"/>
          <w:b w:val="0"/>
          <w:i w:val="0"/>
          <w:caps w:val="0"/>
          <w:sz w:val="24"/>
        </w:rPr>
        <w:t>Il confronto strutturale mostra che i due file non sono fonti indipendenti ma due esportazioni dello stesso archivio sottostante, con schema di colonne parzialmente diverso. Il file più piccolo presenta la sequenza cognome, nome, data di nascita in forma leggibile giorno-mese-anno, luogo di nascita, provincia, regione ed occasionalmente professione. Il file più grande presenta la medesima struttura ma con la data di nascita codificata come numero seriale di foglio elettronico non convertito in formato leggibile, e con maggiore ricorrenza del campo professione.</w:t>
      </w:r>
    </w:p>
    <w:p>
      <w:pPr>
        <w:spacing w:after="120" w:line="276" w:lineRule="auto"/>
        <w:ind w:firstLine="425"/>
        <w:jc w:val="both"/>
      </w:pPr>
      <w:r>
        <w:rPr>
          <w:rFonts w:ascii="Times New Roman" w:hAnsi="Times New Roman" w:cs="Times New Roman" w:eastAsia="Times New Roman"/>
          <w:b w:val="0"/>
          <w:i w:val="0"/>
          <w:caps w:val="0"/>
          <w:sz w:val="24"/>
        </w:rPr>
        <w:t>La verifica di sovrapposizione, condotta su un piccolo campione di forme testuali distintive senza valore nominativo autonomo, conferma che entrambi i file condividono le medesime occorrenze, il che esclude si tratti di due archivi distinti e conferma l'ipotesi di un'unica fonte esportata due volte con impostazioni diverse.</w:t>
      </w:r>
    </w:p>
    <w:p>
      <w:pPr>
        <w:keepNext/>
        <w:spacing w:after="240" w:line="276" w:lineRule="auto" w:before="480"/>
        <w:jc w:val="left"/>
      </w:pPr>
      <w:r>
        <w:rPr>
          <w:rFonts w:ascii="Times New Roman" w:hAnsi="Times New Roman" w:cs="Times New Roman" w:eastAsia="Times New Roman"/>
          <w:b/>
          <w:i w:val="0"/>
          <w:caps w:val="0"/>
          <w:sz w:val="30"/>
        </w:rPr>
        <w:t>Parte Terza — Dimensione e proporzione rispetto alla lista P2 autentica</w:t>
      </w:r>
    </w:p>
    <w:p>
      <w:pPr>
        <w:spacing w:after="120" w:line="276" w:lineRule="auto"/>
        <w:ind w:firstLine="425"/>
        <w:jc w:val="both"/>
      </w:pPr>
      <w:r>
        <w:rPr>
          <w:rFonts w:ascii="Times New Roman" w:hAnsi="Times New Roman" w:cs="Times New Roman" w:eastAsia="Times New Roman"/>
          <w:b w:val="0"/>
          <w:i w:val="0"/>
          <w:caps w:val="0"/>
          <w:sz w:val="24"/>
        </w:rPr>
        <w:t>La stima del numero di record, condotta contando le occorrenze dei nomi delle venti regioni italiane nel testo estratto, sotto l'assunzione che ogni record ne rechi esattamente una, restituisce circa ventiseimilacinquecento record per il file più piccolo e circa cinquantatremilacentosessantasei per il file più grande. Si tratta di una stima per eccesso, poiché alcuni record privi del campo regione sfuggirebbero al conteggio, e per difetto, poiché il conteggio non distingue occorrenze del nome regionale che compaiano per altre ragioni nel testo; il Registro la riporta come ordine di grandezza e non come cifra esatta.</w:t>
      </w:r>
    </w:p>
    <w:p>
      <w:pPr>
        <w:spacing w:after="120" w:line="276" w:lineRule="auto"/>
        <w:ind w:firstLine="425"/>
        <w:jc w:val="both"/>
      </w:pPr>
      <w:r>
        <w:rPr>
          <w:rFonts w:ascii="Times New Roman" w:hAnsi="Times New Roman" w:cs="Times New Roman" w:eastAsia="Times New Roman"/>
          <w:b w:val="0"/>
          <w:i w:val="0"/>
          <w:caps w:val="0"/>
          <w:sz w:val="24"/>
        </w:rPr>
        <w:t>Il rapporto con la lista dei novecentosessantadue nominativi sequestrati a Castiglion Fibocchi, verificata nella precedente unità su fonte riconducibile alla Relazione Anselmi, è di circa ventotto volte per il file più piccolo e di circa cinquantacinque volte per il file più grande. Questa sproporzione è essa stessa un dato diagnostico: un archivio ventotto o cinquantacinque volte più ampio della sola Loggia Propaganda Due non può rappresentare quella struttura, e la sua natura più plausibile, coerente anche con l'ampiezza della distribuzione geografica e professionale osservata, è quella di un archivio generale di appartenenza massonica su base nazionale e pluridecennale, relativo a una o più obbedienze nel loro complesso e non a una singola loggia coperta.</w:t>
      </w:r>
    </w:p>
    <w:p>
      <w:pPr>
        <w:keepNext/>
        <w:spacing w:after="240" w:line="276" w:lineRule="auto" w:before="480"/>
        <w:jc w:val="left"/>
      </w:pPr>
      <w:r>
        <w:rPr>
          <w:rFonts w:ascii="Times New Roman" w:hAnsi="Times New Roman" w:cs="Times New Roman" w:eastAsia="Times New Roman"/>
          <w:b/>
          <w:i w:val="0"/>
          <w:caps w:val="0"/>
          <w:sz w:val="30"/>
        </w:rPr>
        <w:t>Parte Quarta — Qualità della codifica e un difetto tecnico rilevante</w:t>
      </w:r>
    </w:p>
    <w:p>
      <w:pPr>
        <w:spacing w:after="120" w:line="276" w:lineRule="auto"/>
        <w:ind w:firstLine="425"/>
        <w:jc w:val="both"/>
      </w:pPr>
      <w:r>
        <w:rPr>
          <w:rFonts w:ascii="Times New Roman" w:hAnsi="Times New Roman" w:cs="Times New Roman" w:eastAsia="Times New Roman"/>
          <w:b w:val="0"/>
          <w:i w:val="0"/>
          <w:caps w:val="0"/>
          <w:sz w:val="24"/>
        </w:rPr>
        <w:t>Il file più grande presenta un difetto di conversione che merita segnalazione puntuale, poiché ne condiziona l'affidabilità per qualunque uso futuro. Le date di nascita vi sono codificate come numeri seriali secondo la convenzione dei fogli elettronico, nella quale ogni intero rappresenta un giorno trascorso da un'origine convenzionale fissata al trenta dicembre milleottocentonovantanove. La conversione di questi numeri in date restituisce, per la maggioranza dei record, valori plausibili compresi fra il millenovecentodue e il duemilaventuno, con concentrazione nei decenni centrali del Novecento coerente con l'età attesa di una popolazione di iscritti a un'associazione negli anni tra il millenovecentosettanta e il millenovecentonovanta.</w:t>
      </w:r>
    </w:p>
    <w:p>
      <w:pPr>
        <w:spacing w:after="120" w:line="276" w:lineRule="auto"/>
        <w:ind w:firstLine="425"/>
        <w:jc w:val="both"/>
      </w:pPr>
      <w:r>
        <w:rPr>
          <w:rFonts w:ascii="Times New Roman" w:hAnsi="Times New Roman" w:cs="Times New Roman" w:eastAsia="Times New Roman"/>
          <w:b w:val="0"/>
          <w:i w:val="0"/>
          <w:caps w:val="0"/>
          <w:sz w:val="24"/>
        </w:rPr>
        <w:t>Tuttavia, quasi ventimila dei trentanovemiladuecentosettantaquattro valori numerici individuati, poco meno della metà, cadono sotto la soglia corrispondente al millenovecentodieci, il che li rende incompatibili con un'età di iscrizione plausibile e ne rivela la natura di artefatto di conversione: si tratta con ogni evidenza di province o codici numerici diversi dalla data, erroneamente inclusi nel conteggio dei seriali dal metodo di estrazione automatica, oppure di date effettivamente troncate o corrotte nel passaggio dal foglio elettronico originario al formato PDF. In ogni caso, quasi la metà del campo data in questo file non è utilizzabile senza ulteriore pulizia, e questo costituisce ulteriore ragione, indipendente da quella relativa alla provenienza, per non impiegare il file come fonte diretta.</w:t>
      </w:r>
    </w:p>
    <w:p>
      <w:pPr>
        <w:keepNext/>
        <w:spacing w:after="240" w:line="276" w:lineRule="auto" w:before="480"/>
        <w:jc w:val="left"/>
      </w:pPr>
      <w:r>
        <w:rPr>
          <w:rFonts w:ascii="Times New Roman" w:hAnsi="Times New Roman" w:cs="Times New Roman" w:eastAsia="Times New Roman"/>
          <w:b/>
          <w:i w:val="0"/>
          <w:caps w:val="0"/>
          <w:sz w:val="30"/>
        </w:rPr>
        <w:t>Parte Quinta — Distribuzione geografica e professionale aggregata</w:t>
      </w:r>
    </w:p>
    <w:p>
      <w:pPr>
        <w:spacing w:after="120" w:line="276" w:lineRule="auto"/>
        <w:ind w:firstLine="425"/>
        <w:jc w:val="both"/>
      </w:pPr>
      <w:r>
        <w:rPr>
          <w:rFonts w:ascii="Times New Roman" w:hAnsi="Times New Roman" w:cs="Times New Roman" w:eastAsia="Times New Roman"/>
          <w:b w:val="0"/>
          <w:i w:val="0"/>
          <w:caps w:val="0"/>
          <w:sz w:val="24"/>
        </w:rPr>
        <w:t>La distribuzione per regione, calcolata sulle occorrenze testuali e dunque approssimativa, colloca al vertice la Toscana con circa il diciotto per cento delle occorrenze nel file più piccolo, seguita da Sicilia, Piemonte, Lombardia e Calabria, tutte comprese fra l'otto e l'undici per cento. Le regioni meno rappresentate sono Abruzzo, Molise e Valle d'Aosta, ciascuna sotto l'uno per cento. Questa distribuzione è compatibile con la storiografia nota sulla geografia della massoneria italiana del secondo Novecento, che attribuisce a Toscana, Sicilia e Piemonte concentrazioni di logge storicamente superiori alla media nazionale, e non presenta anomalie che suggeriscano compilazione artificiale o casuale.</w:t>
      </w:r>
    </w:p>
    <w:p>
      <w:pPr>
        <w:spacing w:after="120" w:line="276" w:lineRule="auto"/>
        <w:ind w:firstLine="425"/>
        <w:jc w:val="both"/>
      </w:pPr>
      <w:r>
        <w:rPr>
          <w:rFonts w:ascii="Times New Roman" w:hAnsi="Times New Roman" w:cs="Times New Roman" w:eastAsia="Times New Roman"/>
          <w:b w:val="0"/>
          <w:i w:val="0"/>
          <w:caps w:val="0"/>
          <w:sz w:val="24"/>
        </w:rPr>
        <w:t>La distribuzione professionale colloca ai primi posti, in entrambi i file e con proporzioni sostanzialmente stabili, le qualifiche di medico, impiegato, dirigente, avvocato, commerciante e imprenditore, in un ordine che riflette la composizione sociale attesa di un'associazione a reclutamento professionale e borghese, senza la concentrazione anomala su apparati di sicurezza, servizi informativi o vertici istituzionali che caratterizza invece, in modo statisticamente eclatante, la lista dei novecentosessantadue affiliati alla Loggia Propaganda Due.</w:t>
      </w:r>
    </w:p>
    <w:p>
      <w:pPr>
        <w:spacing w:after="120" w:line="276" w:lineRule="auto"/>
        <w:ind w:firstLine="425"/>
        <w:jc w:val="both"/>
      </w:pPr>
      <w:r>
        <w:rPr>
          <w:rFonts w:ascii="Times New Roman" w:hAnsi="Times New Roman" w:cs="Times New Roman" w:eastAsia="Times New Roman"/>
          <w:b w:val="0"/>
          <w:i w:val="0"/>
          <w:caps w:val="0"/>
          <w:sz w:val="24"/>
        </w:rPr>
        <w:t>Questo ultimo confronto è il più importante ai fini della presente diagnosi. La lista P2 autentica presenta una sovrarappresentazione massiccia di ufficiali generali, funzionari dei servizi informativi, alti gradi delle forze dell'ordine e titolari di incarichi pubblici apicali, sproporzionata rispetto a qualunque popolazione professionale generale. I due file qui esaminati non presentano tale sproporzione: la distribuzione professionale osservata è quella di una popolazione associativa ordinaria. Questo dato aggregato, da solo, è sufficiente a escludere che i due file rappresentino la Loggia Propaganda Due o un suo sottoinsieme, e conferma per altra via la conclusione già raggiunta sulla base della sola dimensione numerica.</w:t>
      </w:r>
    </w:p>
    <w:p>
      <w:pPr>
        <w:keepNext/>
        <w:spacing w:after="240" w:line="276" w:lineRule="auto" w:before="480"/>
        <w:jc w:val="left"/>
      </w:pPr>
      <w:r>
        <w:rPr>
          <w:rFonts w:ascii="Times New Roman" w:hAnsi="Times New Roman" w:cs="Times New Roman" w:eastAsia="Times New Roman"/>
          <w:b/>
          <w:i w:val="0"/>
          <w:caps w:val="0"/>
          <w:sz w:val="30"/>
        </w:rPr>
        <w:t>Parte Sesta — Conclusione e uso raccomandato</w:t>
      </w:r>
    </w:p>
    <w:p>
      <w:pPr>
        <w:spacing w:after="120" w:line="276" w:lineRule="auto"/>
        <w:ind w:firstLine="425"/>
        <w:jc w:val="both"/>
      </w:pPr>
      <w:r>
        <w:rPr>
          <w:rFonts w:ascii="Times New Roman" w:hAnsi="Times New Roman" w:cs="Times New Roman" w:eastAsia="Times New Roman"/>
          <w:b w:val="0"/>
          <w:i w:val="0"/>
          <w:caps w:val="0"/>
          <w:sz w:val="24"/>
        </w:rPr>
        <w:t>I due file caricati non costituiscono, con elevata probabilità basata sulla dimensione, sulla distribuzione professionale e sull'assenza di ogni marcatura di provenienza, una fonte relativa alla Loggia Propaganda Due o al sequestro di Castiglion Fibocchi. Essi appaiono piuttosto riconducibili a un archivio generale di appartenenza massonica di scala nazionale, la cui autenticità, completezza e accuratezza restano non verificabili con gli strumenti qui disponibili.</w:t>
      </w:r>
    </w:p>
    <w:p>
      <w:pPr>
        <w:spacing w:after="120" w:line="276" w:lineRule="auto"/>
        <w:ind w:firstLine="425"/>
        <w:jc w:val="both"/>
      </w:pPr>
      <w:r>
        <w:rPr>
          <w:rFonts w:ascii="Times New Roman" w:hAnsi="Times New Roman" w:cs="Times New Roman" w:eastAsia="Times New Roman"/>
          <w:b w:val="0"/>
          <w:i w:val="0"/>
          <w:caps w:val="0"/>
          <w:sz w:val="24"/>
        </w:rPr>
        <w:t>Il Registro conferma la decisione di non utilizzare questi file come fonte per la costruzione di nodi o archi del corpus, e ne registra l'esistenza come lacuna dichiarata: esistono in circolazione archivi di dimensione considerevole relativi all'appartenenza massonica italiana generale, sensibilmente più ampi della lista P2 autenticata, che il presente corpus non incorpora per assenza di autenticazione della fonte. Qualunque uso futuro di materiale di questo genere richiederebbe la preventiva individuazione di una provenienza verificabile, equivalente per solidità a quella già stabilita per la Relazione Anselmi, prima che il Registro possa applicarvi la propria disciplina probatoria.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sectPr w:rsidR="00FC693F" w:rsidRPr="0006063C" w:rsidSect="00034616">
      <w:pgSz w:w="19" w:h="27"/>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