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76" w:lineRule="auto" w:before="0"/>
        <w:jc w:val="center"/>
      </w:pPr>
      <w:r>
        <w:rPr>
          <w:rFonts w:ascii="Times New Roman" w:hAnsi="Times New Roman" w:cs="Times New Roman" w:eastAsia="Times New Roman"/>
          <w:b/>
          <w:i w:val="0"/>
          <w:caps/>
          <w:sz w:val="44"/>
        </w:rPr>
        <w:t>Italia Nera</w:t>
      </w:r>
    </w:p>
    <w:p>
      <w:pPr>
        <w:spacing w:after="200" w:line="276" w:lineRule="auto"/>
        <w:jc w:val="center"/>
      </w:pPr>
      <w:r>
        <w:rPr>
          <w:rFonts w:ascii="Times New Roman" w:hAnsi="Times New Roman" w:cs="Times New Roman" w:eastAsia="Times New Roman"/>
          <w:b/>
          <w:i w:val="0"/>
          <w:caps w:val="0"/>
          <w:sz w:val="28"/>
        </w:rPr>
        <w:t>Elenco degli Iscritti alla Loggia P2</w:t>
      </w:r>
    </w:p>
    <w:p>
      <w:pPr>
        <w:spacing w:after="200" w:line="276" w:lineRule="auto"/>
        <w:jc w:val="center"/>
      </w:pPr>
      <w:r>
        <w:rPr>
          <w:rFonts w:ascii="Times New Roman" w:hAnsi="Times New Roman" w:cs="Times New Roman" w:eastAsia="Times New Roman"/>
          <w:b w:val="0"/>
          <w:i/>
          <w:caps w:val="0"/>
          <w:sz w:val="28"/>
        </w:rPr>
        <w:t>Estrazione dalla fonte reale — novecentosessanta record su novecentosessantadue, ordinati per numero di fascicolo</w:t>
      </w:r>
    </w:p>
    <w:p>
      <w:pPr>
        <w:spacing w:after="200" w:line="276" w:lineRule="auto"/>
        <w:jc w:val="center"/>
      </w:pPr>
      <w:r>
        <w:rPr>
          <w:rFonts w:ascii="Times New Roman" w:hAnsi="Times New Roman" w:cs="Times New Roman" w:eastAsia="Times New Roman"/>
          <w:b w:val="0"/>
          <w:i/>
          <w:caps w:val="0"/>
          <w:sz w:val="28"/>
        </w:rPr>
        <w:t>Correzione di tre attribuzioni del Registro V61 e risposta empirica alla domanda sull'adiacenza numerica</w:t>
      </w:r>
    </w:p>
    <w:p>
      <w:pPr>
        <w:spacing w:after="200" w:line="276" w:lineRule="auto"/>
        <w:jc w:val="center"/>
      </w:pPr>
      <w:r>
        <w:rPr>
          <w:rFonts w:ascii="Times New Roman" w:hAnsi="Times New Roman" w:cs="Times New Roman" w:eastAsia="Times New Roman"/>
          <w:b w:val="0"/>
          <w:i/>
          <w:caps w:val="0"/>
          <w:sz w:val="28"/>
        </w:rPr>
        <w:t>Fonte: elenco alfabetico sequestrato a Castiglion Fibocchi il 17 marzo 1981, pubblicato in allegato alla Relazione della Commissione Parlamentare d'Inchiesta presieduta da Tina Anselmi, comunicata alle Presidenze delle Camere il 12 luglio 1984</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p>
      <w:r>
        <w:rPr>
          <w:rFonts w:ascii="Times New Roman" w:hAnsi="Times New Roman" w:cs="Times New Roman" w:eastAsia="Times New Roman"/>
          <w:b w:val="0"/>
          <w:i w:val="0"/>
          <w:caps w:val="0"/>
          <w:sz w:val="24"/>
        </w:rPr>
        <w:br w:type="page"/>
      </w:r>
    </w:p>
    <w:p>
      <w:pPr>
        <w:keepNext/>
        <w:spacing w:after="240" w:line="276" w:lineRule="auto" w:before="480"/>
        <w:jc w:val="left"/>
      </w:pPr>
      <w:r>
        <w:rPr>
          <w:rFonts w:ascii="Times New Roman" w:hAnsi="Times New Roman" w:cs="Times New Roman" w:eastAsia="Times New Roman"/>
          <w:b/>
          <w:i w:val="0"/>
          <w:caps w:val="0"/>
          <w:sz w:val="30"/>
        </w:rPr>
        <w:t>Parte Prima — Provenienza e limiti della fonte qui utilizzata</w:t>
      </w:r>
    </w:p>
    <w:p>
      <w:pPr>
        <w:spacing w:after="120" w:line="276" w:lineRule="auto"/>
        <w:ind w:firstLine="425"/>
        <w:jc w:val="both"/>
      </w:pPr>
      <w:r>
        <w:rPr>
          <w:rFonts w:ascii="Times New Roman" w:hAnsi="Times New Roman" w:cs="Times New Roman" w:eastAsia="Times New Roman"/>
          <w:b w:val="0"/>
          <w:i w:val="0"/>
          <w:caps w:val="0"/>
          <w:sz w:val="24"/>
        </w:rPr>
        <w:t>Il presente documento nasce dal reperimento di una copia digitalizzata dell'elenco alfabetico dei novecentosessantadue nominativi sequestrati a Castiglion Fibocchi, distribuita in rete e riconducibile per contenuto al testo allegato alla Relazione della Commissione Anselmi. Il testo è stato acquisito per intero, sottoposto a estrazione automatica dei campi nome, città, stato dell'affiliazione e numero, e riordinato per numero di fascicolo anziché per ordine alfabetico, così da rendere interrogabile la sequenza numerica.</w:t>
      </w:r>
    </w:p>
    <w:p>
      <w:pPr>
        <w:spacing w:after="120" w:line="276" w:lineRule="auto"/>
        <w:ind w:firstLine="425"/>
        <w:jc w:val="both"/>
      </w:pPr>
      <w:r>
        <w:rPr>
          <w:rFonts w:ascii="Times New Roman" w:hAnsi="Times New Roman" w:cs="Times New Roman" w:eastAsia="Times New Roman"/>
          <w:b w:val="0"/>
          <w:i w:val="0"/>
          <w:caps w:val="0"/>
          <w:sz w:val="24"/>
        </w:rPr>
        <w:t>L'estrazione ha prodotto novecentosessanta record su un totale dichiarato di novecentosessantadue. Tre fascicoli, il duecentotrentotto, il trecentonovantotto e il novecentoquarantanove, non compaiono nel testo disponibile e vanno considerati lacuna della copia utilizzata, non necessariamente della fonte originale. Un solo numero di fascicolo, il trecentonovantasette, risulta associato a due nominativi distinti nel testo acquisito; il Registro non è in grado di stabilire se si tratti di un errore di trascrizione della fonte digitale o di un'anomalia già presente nell'originale, e registra la circostanza come discrepanza da verificare su copia autoptica.</w:t>
      </w:r>
    </w:p>
    <w:p>
      <w:pPr>
        <w:spacing w:after="120" w:line="276" w:lineRule="auto"/>
        <w:ind w:firstLine="425"/>
        <w:jc w:val="both"/>
      </w:pPr>
      <w:r>
        <w:rPr>
          <w:rFonts w:ascii="Times New Roman" w:hAnsi="Times New Roman" w:cs="Times New Roman" w:eastAsia="Times New Roman"/>
          <w:b w:val="0"/>
          <w:i w:val="0"/>
          <w:caps w:val="0"/>
          <w:sz w:val="24"/>
        </w:rPr>
        <w:t xml:space="preserve">Il presente documento riporta i dati così come estratti, con indicazione della fonte a monte di ciascuna informazione. Ogni nominativo è di </w:t>
      </w:r>
      <w:r>
        <w:rPr>
          <w:rFonts w:ascii="Times New Roman" w:hAnsi="Times New Roman" w:cs="Times New Roman" w:eastAsia="Times New Roman"/>
          <w:b/>
          <w:i w:val="0"/>
          <w:caps w:val="0"/>
          <w:sz w:val="24"/>
        </w:rPr>
        <w:t>Livello B</w:t>
      </w:r>
      <w:r>
        <w:rPr>
          <w:rFonts w:ascii="Times New Roman" w:hAnsi="Times New Roman" w:cs="Times New Roman" w:eastAsia="Times New Roman"/>
          <w:b w:val="0"/>
          <w:i w:val="0"/>
          <w:caps w:val="0"/>
          <w:sz w:val="24"/>
        </w:rPr>
        <w:t xml:space="preserve"> secondo il criterio di indipendenza genealogica già stabilito nel Registro V61, in quanto proveniente da un'unica catena documentale; nulla in questa unità eleva tale classificazione.</w:t>
      </w:r>
    </w:p>
    <w:p>
      <w:pPr>
        <w:keepNext/>
        <w:spacing w:after="240" w:line="276" w:lineRule="auto" w:before="480"/>
        <w:jc w:val="left"/>
      </w:pPr>
      <w:r>
        <w:rPr>
          <w:rFonts w:ascii="Times New Roman" w:hAnsi="Times New Roman" w:cs="Times New Roman" w:eastAsia="Times New Roman"/>
          <w:b/>
          <w:i w:val="0"/>
          <w:caps w:val="0"/>
          <w:sz w:val="30"/>
        </w:rPr>
        <w:t>Parte Seconda — Risposta empirica alla domanda sull'adiacenza numerica</w:t>
      </w:r>
    </w:p>
    <w:p>
      <w:pPr>
        <w:spacing w:after="120" w:line="276" w:lineRule="auto"/>
        <w:ind w:firstLine="425"/>
        <w:jc w:val="both"/>
      </w:pPr>
      <w:r>
        <w:rPr>
          <w:rFonts w:ascii="Times New Roman" w:hAnsi="Times New Roman" w:cs="Times New Roman" w:eastAsia="Times New Roman"/>
          <w:b w:val="0"/>
          <w:i w:val="0"/>
          <w:caps w:val="0"/>
          <w:sz w:val="24"/>
        </w:rPr>
        <w:t>Il Registro aveva registrato come lacuna operativa la verifica se la numerazione di fascicolo fosse informativa, ossia se riflettesse un principio di raggruppamento reale, prima di autorizzare qualunque ricerca per prossimità numerica. Disponendo ora della fonte, tale verifica è stata eseguita.</w:t>
      </w:r>
    </w:p>
    <w:p>
      <w:pPr>
        <w:spacing w:after="120" w:line="276" w:lineRule="auto"/>
        <w:ind w:firstLine="425"/>
        <w:jc w:val="both"/>
      </w:pPr>
      <w:r>
        <w:rPr>
          <w:rFonts w:ascii="Times New Roman" w:hAnsi="Times New Roman" w:cs="Times New Roman" w:eastAsia="Times New Roman"/>
          <w:b w:val="0"/>
          <w:i w:val="0"/>
          <w:caps w:val="0"/>
          <w:sz w:val="24"/>
        </w:rPr>
        <w:t>Il primo test esclude l'ipotesi che il numero di fascicolo coincida con la posizione alfabetica dei cognomi. La correlazione di Spearman fra numero di fascicolo e posizione nell'ordinamento alfabetico dell'intero elenco è pari a 0,024, valore indistinguibile da zero. Il numero di fascicolo non è dunque un artefatto della trascrizione alfabetica: è un dato indipendente, verosimilmente riferito all'ordine di acquisizione o registrazione amministrativa.</w:t>
      </w:r>
    </w:p>
    <w:p>
      <w:pPr>
        <w:spacing w:after="120" w:line="276" w:lineRule="auto"/>
        <w:ind w:firstLine="425"/>
        <w:jc w:val="both"/>
      </w:pPr>
      <w:r>
        <w:rPr>
          <w:rFonts w:ascii="Times New Roman" w:hAnsi="Times New Roman" w:cs="Times New Roman" w:eastAsia="Times New Roman"/>
          <w:b w:val="0"/>
          <w:i w:val="0"/>
          <w:caps w:val="0"/>
          <w:sz w:val="24"/>
        </w:rPr>
        <w:t>Il secondo test verifica se fascicoli numericamente contigui condividano la città di affiliazione più spesso di quanto atteso per effetto del caso. Delle novecentocinquantacinque coppie di fascicoli consecutivi disponibili, il trentuno per cento condivide la medesima città, contro un tasso atteso sotto ipotesi di indipendenza del quindici virgola nove per cento, calcolato sulla distribuzione osservata delle città nell'intero elenco. Il rapporto è prossimo al doppio.</w:t>
      </w:r>
    </w:p>
    <w:p>
      <w:pPr>
        <w:spacing w:after="120" w:line="276" w:lineRule="auto"/>
        <w:ind w:firstLine="425"/>
        <w:jc w:val="both"/>
      </w:pPr>
      <w:r>
        <w:rPr>
          <w:rFonts w:ascii="Times New Roman" w:hAnsi="Times New Roman" w:cs="Times New Roman" w:eastAsia="Times New Roman"/>
          <w:b w:val="0"/>
          <w:i w:val="0"/>
          <w:caps w:val="0"/>
          <w:sz w:val="24"/>
        </w:rPr>
        <w:t>La lettura per fasce di cento fascicoli rende visibile la struttura sottostante. La fascia settecentouno-ottocento è dominata da Firenze con quarantuno affiliati su cento, contro una media fiorentina nell'intero elenco sensibilmente inferiore: si tratta con ogni evidenza di un blocco di registrazione locale, verosimilmente relativo a una singola loggia o a un singolo periodo di affiliazione toscana. Effetti analoghi, benché meno marcati, si osservano per Roma nelle fasce iniziali e per il gruppo sudamericana nella fascia seicentouno-settecento.</w:t>
      </w:r>
    </w:p>
    <w:p>
      <w:pPr>
        <w:spacing w:after="120" w:line="276" w:lineRule="auto"/>
        <w:ind w:firstLine="425"/>
        <w:jc w:val="both"/>
      </w:pPr>
      <w:r>
        <w:rPr>
          <w:rFonts w:ascii="Times New Roman" w:hAnsi="Times New Roman" w:cs="Times New Roman" w:eastAsia="Times New Roman"/>
          <w:b w:val="0"/>
          <w:i w:val="0"/>
          <w:caps w:val="0"/>
          <w:sz w:val="24"/>
        </w:rPr>
        <w:t xml:space="preserve">La conclusione che il Registro trae da questi due test è duplice e va enunciata con precisione. L'adiacenza numerica </w:t>
      </w:r>
      <w:r>
        <w:rPr>
          <w:rFonts w:ascii="Times New Roman" w:hAnsi="Times New Roman" w:cs="Times New Roman" w:eastAsia="Times New Roman"/>
          <w:b/>
          <w:i w:val="0"/>
          <w:caps w:val="0"/>
          <w:sz w:val="24"/>
        </w:rPr>
        <w:t>non è casuale</w:t>
      </w:r>
      <w:r>
        <w:rPr>
          <w:rFonts w:ascii="Times New Roman" w:hAnsi="Times New Roman" w:cs="Times New Roman" w:eastAsia="Times New Roman"/>
          <w:b w:val="0"/>
          <w:i w:val="0"/>
          <w:caps w:val="0"/>
          <w:sz w:val="24"/>
        </w:rPr>
        <w:t xml:space="preserve">: essa contiene informazione reale sul raggruppamento amministrativo dell'affiliazione, verosimilmente per sede locale o per periodo di registrazione presso una data loggia coprente. Ma tale informazione è </w:t>
      </w:r>
      <w:r>
        <w:rPr>
          <w:rFonts w:ascii="Times New Roman" w:hAnsi="Times New Roman" w:cs="Times New Roman" w:eastAsia="Times New Roman"/>
          <w:b/>
          <w:i w:val="0"/>
          <w:caps w:val="0"/>
          <w:sz w:val="24"/>
        </w:rPr>
        <w:t>rumorosa e non sistematica</w:t>
      </w:r>
      <w:r>
        <w:rPr>
          <w:rFonts w:ascii="Times New Roman" w:hAnsi="Times New Roman" w:cs="Times New Roman" w:eastAsia="Times New Roman"/>
          <w:b w:val="0"/>
          <w:i w:val="0"/>
          <w:caps w:val="0"/>
          <w:sz w:val="24"/>
        </w:rPr>
        <w:t>: il trentuno per cento di omogeneità locale significa che oltre due terzi delle coppie contigue non condividono la città, il che esclude un ordine cronologico puro o un raggruppamento geografico rigido. La numerazione ammette dunque ricerca per prossimità come euristica investigativa legittima, ma non come regola.</w:t>
      </w:r>
    </w:p>
    <w:p>
      <w:pPr>
        <w:keepNext/>
        <w:spacing w:after="240" w:line="276" w:lineRule="auto" w:before="480"/>
        <w:jc w:val="left"/>
      </w:pPr>
      <w:r>
        <w:rPr>
          <w:rFonts w:ascii="Times New Roman" w:hAnsi="Times New Roman" w:cs="Times New Roman" w:eastAsia="Times New Roman"/>
          <w:b/>
          <w:i w:val="0"/>
          <w:caps w:val="0"/>
          <w:sz w:val="30"/>
        </w:rPr>
        <w:t>Parte Terza — Correzione di tre attribuzioni del Registro V61</w:t>
      </w:r>
    </w:p>
    <w:p>
      <w:pPr>
        <w:spacing w:after="120" w:line="276" w:lineRule="auto"/>
        <w:ind w:firstLine="425"/>
        <w:jc w:val="both"/>
      </w:pPr>
      <w:r>
        <w:rPr>
          <w:rFonts w:ascii="Times New Roman" w:hAnsi="Times New Roman" w:cs="Times New Roman" w:eastAsia="Times New Roman"/>
          <w:b w:val="0"/>
          <w:i w:val="0"/>
          <w:caps w:val="0"/>
          <w:sz w:val="24"/>
        </w:rPr>
        <w:t>Il confronto dei nominativi già trattati nelle unità precedenti con i dati ora estratti dalla fonte consente tre correzioni, che il principio di cumulatività preservativa impone di registrare esplicitamente anziché sovrascrivere silenziosamente.</w:t>
      </w:r>
    </w:p>
    <w:p>
      <w:pPr>
        <w:spacing w:after="120" w:line="276" w:lineRule="auto"/>
        <w:ind w:firstLine="425"/>
        <w:jc w:val="both"/>
      </w:pPr>
      <w:r>
        <w:rPr>
          <w:rFonts w:ascii="Times New Roman" w:hAnsi="Times New Roman" w:cs="Times New Roman" w:eastAsia="Times New Roman"/>
          <w:b w:val="0"/>
          <w:i w:val="0"/>
          <w:caps w:val="0"/>
          <w:sz w:val="24"/>
        </w:rPr>
        <w:t>Prima correzione. Il fascicolo di Michele Sindona nel testo acquisito reca il solo numero, cinquecentouno, senza indicazione della città di residenza attribuita, a differenza di ogni altro record dell'elenco. Non è possibile stabilire, sulla sola base di questa fonte, se si tratti di omissione del documento originale o di difetto della copia digitale consultata. Il numero di fascicolo cinquecentouno è comunque coerente con l'attestazione già presente nel corpus.</w:t>
      </w:r>
    </w:p>
    <w:p>
      <w:pPr>
        <w:spacing w:after="120" w:line="276" w:lineRule="auto"/>
        <w:ind w:firstLine="425"/>
        <w:jc w:val="both"/>
      </w:pPr>
      <w:r>
        <w:rPr>
          <w:rFonts w:ascii="Times New Roman" w:hAnsi="Times New Roman" w:cs="Times New Roman" w:eastAsia="Times New Roman"/>
          <w:b w:val="0"/>
          <w:i w:val="0"/>
          <w:caps w:val="0"/>
          <w:sz w:val="24"/>
        </w:rPr>
        <w:t xml:space="preserve">Seconda correzione. Il nominativo di Antonio Varisco, trattato nel Registro V61 come affiliato di Livello B con riserva esplicita di incertezza genealogica, </w:t>
      </w:r>
      <w:r>
        <w:rPr>
          <w:rFonts w:ascii="Times New Roman" w:hAnsi="Times New Roman" w:cs="Times New Roman" w:eastAsia="Times New Roman"/>
          <w:b/>
          <w:i w:val="0"/>
          <w:caps w:val="0"/>
          <w:sz w:val="24"/>
        </w:rPr>
        <w:t>non compare nel testo dell'elenco dei novecentosessantadue qui acquisito</w:t>
      </w:r>
      <w:r>
        <w:rPr>
          <w:rFonts w:ascii="Times New Roman" w:hAnsi="Times New Roman" w:cs="Times New Roman" w:eastAsia="Times New Roman"/>
          <w:b w:val="0"/>
          <w:i w:val="0"/>
          <w:caps w:val="0"/>
          <w:sz w:val="24"/>
        </w:rPr>
        <w:t>. Questa assenza può derivare da tre cause distinte, fra le quali il presente documento non può discriminare: un errore della copia digitale utilizzata, l'appartenenza del nominativo a una delle liste successive e distinte dai novecentosessantadue, oppure l'inesattezza dell'attribuzione originaria. Il Registro mantiene la classificazione di Livello B già assegnata, ma eleva il grado di cautela associato e segnala la necessità di verifica su copia autoptica della Relazione prima di ogni ulteriore uso analitico di questo nominativo.</w:t>
      </w:r>
    </w:p>
    <w:p>
      <w:pPr>
        <w:spacing w:after="120" w:line="276" w:lineRule="auto"/>
        <w:ind w:firstLine="425"/>
        <w:jc w:val="both"/>
      </w:pPr>
      <w:r>
        <w:rPr>
          <w:rFonts w:ascii="Times New Roman" w:hAnsi="Times New Roman" w:cs="Times New Roman" w:eastAsia="Times New Roman"/>
          <w:b w:val="0"/>
          <w:i w:val="0"/>
          <w:caps w:val="0"/>
          <w:sz w:val="24"/>
        </w:rPr>
        <w:t>Terza correzione, di segno opposto alle precedenti. Tutti gli altri ventuno nominativi già censiti nel Registro V61 e qui verificati incrociando la fonte — fra cui Gelli, Calvi, Musumeci, Santovito, Salacone, Ortolani, Ferracuti, Miceli, Cornacchia, Cioppa e Spagnuolo — risultano confermati nel numero di fascicolo esatto già attribuito, senza discrepanza. Questo eleva la fiducia nella correttezza generale delle attribuzioni numeriche già presenti nel corpus, con la sola eccezione dei due casi appena segnalati.</w:t>
      </w:r>
    </w:p>
    <w:p>
      <w:pPr>
        <w:keepNext/>
        <w:spacing w:after="240" w:line="276" w:lineRule="auto" w:before="480"/>
        <w:jc w:val="left"/>
      </w:pPr>
      <w:r>
        <w:rPr>
          <w:rFonts w:ascii="Times New Roman" w:hAnsi="Times New Roman" w:cs="Times New Roman" w:eastAsia="Times New Roman"/>
          <w:b/>
          <w:i w:val="0"/>
          <w:caps w:val="0"/>
          <w:sz w:val="30"/>
        </w:rPr>
        <w:t>Parte Quarta — Intorni numerici reali su fascicoli di effettivo interesse</w:t>
      </w:r>
    </w:p>
    <w:p>
      <w:pPr>
        <w:spacing w:after="120" w:line="276" w:lineRule="auto"/>
        <w:ind w:firstLine="425"/>
        <w:jc w:val="both"/>
      </w:pPr>
      <w:r>
        <w:rPr>
          <w:rFonts w:ascii="Times New Roman" w:hAnsi="Times New Roman" w:cs="Times New Roman" w:eastAsia="Times New Roman"/>
          <w:b w:val="0"/>
          <w:i w:val="0"/>
          <w:caps w:val="0"/>
          <w:sz w:val="24"/>
        </w:rPr>
        <w:t>Poiché i due numeri richiesti nella formulazione originaria della domanda, milleseicento e millesecentoquarantanove, eccedono il fascicolo massimo dell'elenco, pari a novecentosessantadue, essi non possono riferirsi a un numero di fascicolo e appartengono con ogni verosimiglianza al secondo sistema di numerazione, quello di tessera o brevetto massonico, per il quale questa fonte non offre corrispondenza biunivoca verificabile.</w:t>
      </w:r>
    </w:p>
    <w:p>
      <w:pPr>
        <w:spacing w:after="120" w:line="276" w:lineRule="auto"/>
        <w:ind w:firstLine="425"/>
        <w:jc w:val="both"/>
      </w:pPr>
      <w:r>
        <w:rPr>
          <w:rFonts w:ascii="Times New Roman" w:hAnsi="Times New Roman" w:cs="Times New Roman" w:eastAsia="Times New Roman"/>
          <w:b w:val="0"/>
          <w:i w:val="0"/>
          <w:caps w:val="0"/>
          <w:sz w:val="24"/>
        </w:rPr>
        <w:t>Il Registro presenta in luogo di quella richiesta gli intorni di venticinque posizioni per due fascicoli di effettivo interesse analitico già trattati nelle unità precedenti, a titolo di applicazione dimostrativa del medesimo principio.</w:t>
      </w:r>
    </w:p>
    <w:p>
      <w:pPr>
        <w:keepNext/>
        <w:spacing w:after="160" w:line="276" w:lineRule="auto" w:before="320"/>
        <w:jc w:val="left"/>
      </w:pPr>
      <w:r>
        <w:rPr>
          <w:rFonts w:ascii="Times New Roman" w:hAnsi="Times New Roman" w:cs="Times New Roman" w:eastAsia="Times New Roman"/>
          <w:b/>
          <w:i w:val="0"/>
          <w:caps w:val="0"/>
          <w:sz w:val="26"/>
        </w:rPr>
        <w:t>Intorno del fascicolo quattrocentottantasette — Pietro Musumeci</w:t>
      </w:r>
    </w:p>
    <w:p>
      <w:pPr>
        <w:spacing w:after="120" w:line="276" w:lineRule="auto"/>
        <w:ind w:firstLine="425"/>
        <w:jc w:val="both"/>
      </w:pPr>
      <w:r>
        <w:rPr>
          <w:rFonts w:ascii="Times New Roman" w:hAnsi="Times New Roman" w:cs="Times New Roman" w:eastAsia="Times New Roman"/>
          <w:b w:val="0"/>
          <w:i w:val="0"/>
          <w:caps w:val="0"/>
          <w:sz w:val="24"/>
        </w:rPr>
        <w:t>Nell'intervallo compreso fra il fascicolo quattrocentosessantadue e il fascicolo cinquecentododici compaiono, oltre a Musumeci, i nominativi di Donato Lo Prete al fascicolo quattrocentottantadue, di Vito Miceli al quattrocentonovantuno, di Umberto Ortolani al quattrocentonovantaquattro, di Giuseppe Siracusano al quattrocentonovantasei, di Gianadelio Maletti al quattrocentonovantanove, di Romolo Dalla Chiesa al cinquecento, di Michele Sindona al cinquecentouno, di Antonio Viezzer al cinquecentonove. La densità di nominativi già censiti come rilevanti in questo intervallo di cinquanta posizioni, otto su cinquantuno, eccede sensibilmente quella media dell'intero elenco, e corrobora empiricamente l'ipotesi di un blocco di registrazione riferito ad personale afferente agli apparati di sicurezza romani.</w:t>
      </w:r>
    </w:p>
    <w:p>
      <w:pPr>
        <w:keepNext/>
        <w:spacing w:after="160" w:line="276" w:lineRule="auto" w:before="320"/>
        <w:jc w:val="left"/>
      </w:pPr>
      <w:r>
        <w:rPr>
          <w:rFonts w:ascii="Times New Roman" w:hAnsi="Times New Roman" w:cs="Times New Roman" w:eastAsia="Times New Roman"/>
          <w:b/>
          <w:i w:val="0"/>
          <w:caps w:val="0"/>
          <w:sz w:val="26"/>
        </w:rPr>
        <w:t>Intorno del fascicolo cinquecentoventisette — Giuseppe Santovito</w:t>
      </w:r>
    </w:p>
    <w:p>
      <w:pPr>
        <w:spacing w:after="120" w:line="276" w:lineRule="auto"/>
        <w:ind w:firstLine="425"/>
        <w:jc w:val="both"/>
      </w:pPr>
      <w:r>
        <w:rPr>
          <w:rFonts w:ascii="Times New Roman" w:hAnsi="Times New Roman" w:cs="Times New Roman" w:eastAsia="Times New Roman"/>
          <w:b w:val="0"/>
          <w:i w:val="0"/>
          <w:caps w:val="0"/>
          <w:sz w:val="24"/>
        </w:rPr>
        <w:t>Nell'intervallo fra il fascicolo cinquecentodue e il fascicolo cinquecentocinquantadue compaiono, oltre a Santovito, i nominativi di Antonio La Bruna al fascicolo cinquecentodue, di Giovanni Allavena al cinquecentocinque, di Antonio Viezzer al cinquecentonove, di Giulio Grassini al cinquecentoquindici, di Roberto Calvi al cinquecentodiciannove, di Angelo Rizzoli al cinquecentotrentadue, di Bruno Tassan Din al cinquecentotrentaquattro, di Raffaele Giudice al cinquecentotrentacinque, di Mario Semprini al cinquecentoquarantaquattro, di Carmelo Spagnuolo al cinquecentoquarantacinque. La concentrazione qui è ancora più marcata: dieci nominativi di rilievo già censito in un intervallo di cinquantuno posizioni.</w:t>
      </w:r>
    </w:p>
    <w:p>
      <w:pPr>
        <w:spacing w:after="120" w:line="276" w:lineRule="auto"/>
        <w:ind w:firstLine="425"/>
        <w:jc w:val="both"/>
      </w:pPr>
      <w:r>
        <w:rPr>
          <w:rFonts w:ascii="Times New Roman" w:hAnsi="Times New Roman" w:cs="Times New Roman" w:eastAsia="Times New Roman"/>
          <w:b w:val="0"/>
          <w:i w:val="0"/>
          <w:caps w:val="0"/>
          <w:sz w:val="24"/>
        </w:rPr>
        <w:t>Il Registro segnala che questi due intorni, presi insieme, offrono la prima verifica quantitativa diretta dell'ipotesi di blocco settoriale: i nominativi legati agli apparati di sicurezza e alla loro copertura finanziaria non sono distribuiti uniformemente nell'elenco ma si addensano in specifiche fasce numeriche, il che è coerente con il pattern generale di clustering geografico-settoriale rilevato nella Parte Seconda.</w:t>
      </w:r>
    </w:p>
    <w:p>
      <w:pPr>
        <w:keepNext/>
        <w:spacing w:after="240" w:line="276" w:lineRule="auto" w:before="480"/>
        <w:jc w:val="left"/>
      </w:pPr>
      <w:r>
        <w:rPr>
          <w:rFonts w:ascii="Times New Roman" w:hAnsi="Times New Roman" w:cs="Times New Roman" w:eastAsia="Times New Roman"/>
          <w:b/>
          <w:i w:val="0"/>
          <w:caps w:val="0"/>
          <w:sz w:val="30"/>
        </w:rPr>
        <w:t>Parte Quinta — Sul Dominio della Politica e sulle Istituzioni entro questo elenco</w:t>
      </w:r>
    </w:p>
    <w:p>
      <w:pPr>
        <w:spacing w:after="120" w:line="276" w:lineRule="auto"/>
        <w:ind w:firstLine="425"/>
        <w:jc w:val="both"/>
      </w:pPr>
      <w:r>
        <w:rPr>
          <w:rFonts w:ascii="Times New Roman" w:hAnsi="Times New Roman" w:cs="Times New Roman" w:eastAsia="Times New Roman"/>
          <w:b w:val="0"/>
          <w:i w:val="0"/>
          <w:caps w:val="0"/>
          <w:sz w:val="24"/>
        </w:rPr>
        <w:t>Applicando allo stesso elenco un filtro sulla qualifica dichiarata, si registra la presenza di quarantaquattro fra parlamentari, ministri e titolari di cariche politiche secondo la stima già nota alla pubblicistica e qui non ricontata singolarmente, poiché l'estrazione automatica non distingue sistematicamente il titolo onorifico "on" da altre qualifiche abbreviate senza rischio di errore. Il Registro rinvia a successiva unità dedicata la ricostruzione nominativa puntuale di questo sottoinsieme, che richiede disambiguazione manuale delle abbreviazioni professionali presenti nella fonte, e che è operazione distinta da quella qui condotta sulla sola sequenza numerica.</w:t>
      </w:r>
    </w:p>
    <w:p>
      <w:pPr>
        <w:keepNext/>
        <w:spacing w:after="240" w:line="276" w:lineRule="auto" w:before="480"/>
        <w:jc w:val="left"/>
      </w:pPr>
      <w:r>
        <w:rPr>
          <w:rFonts w:ascii="Times New Roman" w:hAnsi="Times New Roman" w:cs="Times New Roman" w:eastAsia="Times New Roman"/>
          <w:b/>
          <w:i w:val="0"/>
          <w:caps w:val="0"/>
          <w:sz w:val="30"/>
        </w:rPr>
        <w:t>Parte Sesta — Prescrizioni</w:t>
      </w:r>
    </w:p>
    <w:p>
      <w:pPr>
        <w:spacing w:after="120" w:line="276" w:lineRule="auto"/>
        <w:ind w:firstLine="425"/>
        <w:jc w:val="both"/>
      </w:pPr>
      <w:r>
        <w:rPr>
          <w:rFonts w:ascii="Times New Roman" w:hAnsi="Times New Roman" w:cs="Times New Roman" w:eastAsia="Times New Roman"/>
          <w:b w:val="0"/>
          <w:i w:val="0"/>
          <w:caps w:val="0"/>
          <w:sz w:val="24"/>
        </w:rPr>
        <w:t>Prima prescrizione. La discrepanza relativa al nominativo di Antonio Varisco va risolta mediante consultazione di copia autoptica della Relazione Anselmi presso l'Archivio storico della Camera dei Deputati, che dispone dal 2014 della digitalizzazione integrale dei centoventi volumi degli atti.</w:t>
      </w:r>
    </w:p>
    <w:p>
      <w:pPr>
        <w:spacing w:after="120" w:line="276" w:lineRule="auto"/>
        <w:ind w:firstLine="425"/>
        <w:jc w:val="both"/>
      </w:pPr>
      <w:r>
        <w:rPr>
          <w:rFonts w:ascii="Times New Roman" w:hAnsi="Times New Roman" w:cs="Times New Roman" w:eastAsia="Times New Roman"/>
          <w:b w:val="0"/>
          <w:i w:val="0"/>
          <w:caps w:val="0"/>
          <w:sz w:val="24"/>
        </w:rPr>
        <w:t>Seconda prescrizione. Il fascicolo trecentonovantasette, che nel testo acquisito risulta duplicato fra due nominativi, va parimenti verificato su fonte primaria.</w:t>
      </w:r>
    </w:p>
    <w:p>
      <w:pPr>
        <w:spacing w:after="120" w:line="276" w:lineRule="auto"/>
        <w:ind w:firstLine="425"/>
        <w:jc w:val="both"/>
      </w:pPr>
      <w:r>
        <w:rPr>
          <w:rFonts w:ascii="Times New Roman" w:hAnsi="Times New Roman" w:cs="Times New Roman" w:eastAsia="Times New Roman"/>
          <w:b w:val="0"/>
          <w:i w:val="0"/>
          <w:caps w:val="0"/>
          <w:sz w:val="24"/>
        </w:rPr>
        <w:t>Terza prescrizione. L'ipotesi di blocco settoriale per gli apparati di sicurezza romani, qui corroborata empiricamente su due soli intorni, va estesa sistematicamente all'intero elenco mediante classificazione della professione dichiarata per ciascun fascicolo, operazione che consentirebbe di calcolare formalmente la densità di categorie professionali per fascia numerica anziché per i soli due campioni qui presentati.</w:t>
      </w:r>
    </w:p>
    <w:p>
      <w:pPr>
        <w:spacing w:after="120" w:line="276" w:lineRule="auto"/>
        <w:ind w:firstLine="425"/>
        <w:jc w:val="both"/>
      </w:pPr>
      <w:r>
        <w:rPr>
          <w:rFonts w:ascii="Times New Roman" w:hAnsi="Times New Roman" w:cs="Times New Roman" w:eastAsia="Times New Roman"/>
          <w:b w:val="0"/>
          <w:i w:val="0"/>
          <w:caps w:val="0"/>
          <w:sz w:val="24"/>
        </w:rPr>
        <w:t>Quarta prescrizione. Il secondo sistema di numerazione, quello di tessera o brevetto, resta non documentato da questa fonte. Qualunque riferimento a esso nelle versioni future del corpus va accompagnato dalla fonte specifica che lo attesti, distinta da quella qui utilizzata.</w:t>
      </w:r>
    </w:p>
    <w:p>
      <w:pPr>
        <w:spacing w:after="120" w:line="276" w:lineRule="auto" w:before="720"/>
        <w:jc w:val="center"/>
      </w:pPr>
      <w:r>
        <w:rPr>
          <w:rFonts w:ascii="Times New Roman" w:hAnsi="Times New Roman" w:cs="Times New Roman" w:eastAsia="Times New Roman"/>
          <w:b/>
          <w:i w:val="0"/>
          <w:caps w:val="0"/>
          <w:sz w:val="26"/>
        </w:rPr>
        <w:t>Luigi De Michele</w:t>
      </w:r>
    </w:p>
    <w:p>
      <w:pPr>
        <w:spacing w:after="200" w:line="276" w:lineRule="auto"/>
        <w:jc w:val="center"/>
      </w:pPr>
      <w:r>
        <w:rPr>
          <w:rFonts w:ascii="Times New Roman" w:hAnsi="Times New Roman" w:cs="Times New Roman" w:eastAsia="Times New Roman"/>
          <w:b w:val="0"/>
          <w:i/>
          <w:caps w:val="0"/>
          <w:sz w:val="28"/>
        </w:rPr>
        <w:t>Luglio 2026</w:t>
      </w:r>
    </w:p>
    <w:sectPr w:rsidR="00FC693F" w:rsidRPr="0006063C" w:rsidSect="00034616">
      <w:pgSz w:w="19" w:h="27"/>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