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jc w:val="center"/>
      </w:pPr>
      <w:r>
        <w:rPr>
          <w:rFonts w:ascii="Times New Roman" w:hAnsi="Times New Roman" w:cs="Times New Roman" w:eastAsia="Times New Roman"/>
          <w:b/>
          <w:sz w:val="24"/>
        </w:rPr>
        <w:t>L'ITALIA ALLE NAZIONI UNITE: EMBARGO, APARTHEID, NAMIBIA</w:t>
      </w:r>
    </w:p>
    <w:p>
      <w:pPr>
        <w:spacing w:line="276" w:lineRule="auto" w:after="0"/>
        <w:ind w:firstLine="0"/>
        <w:jc w:val="center"/>
      </w:pPr>
      <w:r>
        <w:rPr>
          <w:rFonts w:ascii="Times New Roman" w:hAnsi="Times New Roman" w:cs="Times New Roman" w:eastAsia="Times New Roman"/>
          <w:b w:val="0"/>
          <w:sz w:val="24"/>
        </w:rPr>
        <w:t>Diciottesima ricognizione: due voci della tavola, eseguite</w:t>
      </w:r>
    </w:p>
    <w:p>
      <w:pPr>
        <w:spacing w:line="276" w:lineRule="auto" w:after="0"/>
        <w:ind w:firstLine="0"/>
        <w:jc w:val="center"/>
      </w:pPr>
      <w:r>
        <w:rPr>
          <w:rFonts w:ascii="Times New Roman" w:hAnsi="Times New Roman" w:cs="Times New Roman" w:eastAsia="Times New Roman"/>
          <w:b/>
          <w:sz w:val="24"/>
        </w:rPr>
        <w:t>L'inversione del 1976-1977 e il decimo grado di Stato Zero</w:t>
      </w:r>
    </w:p>
    <w:p>
      <w:pPr>
        <w:spacing w:line="276" w:lineRule="auto" w:after="0"/>
        <w:ind w:firstLine="0"/>
        <w:jc w:val="center"/>
      </w:pPr>
      <w:r>
        <w:rPr>
          <w:rFonts w:ascii="Times New Roman" w:hAnsi="Times New Roman" w:cs="Times New Roman" w:eastAsia="Times New Roman"/>
          <w:b w:val="0"/>
          <w:sz w:val="24"/>
        </w:rPr>
        <w:t>Dodici Capitoli — cinque acquisizioni — una correzione alla sedicesima</w:t>
      </w:r>
    </w:p>
    <w:p>
      <w:pPr>
        <w:spacing w:line="276" w:lineRule="auto" w:after="0"/>
        <w:ind w:firstLine="0"/>
        <w:jc w:val="center"/>
      </w:pPr>
      <w:r>
        <w:rPr>
          <w:rFonts w:ascii="Times New Roman" w:hAnsi="Times New Roman" w:cs="Times New Roman" w:eastAsia="Times New Roman"/>
          <w:b w:val="0"/>
          <w:sz w:val="24"/>
        </w:rPr>
        <w:t>Documento estraneo al Registro Analitico</w:t>
      </w:r>
    </w:p>
    <w:p>
      <w:pPr>
        <w:spacing w:line="276" w:lineRule="auto" w:after="0"/>
        <w:ind w:firstLine="0"/>
        <w:jc w:val="center"/>
      </w:pPr>
      <w:r>
        <w:rPr>
          <w:rFonts w:ascii="Times New Roman" w:hAnsi="Times New Roman" w:cs="Times New Roman" w:eastAsia="Times New Roman"/>
          <w:b w:val="0"/>
          <w:sz w:val="24"/>
        </w:rPr>
        <w:t>Luigi De Michele</w:t>
      </w:r>
    </w:p>
    <w:p>
      <w:pPr>
        <w:spacing w:line="276" w:lineRule="auto" w:after="0"/>
        <w:ind w:firstLine="0"/>
        <w:jc w:val="center"/>
      </w:pPr>
      <w:r>
        <w:rPr>
          <w:rFonts w:ascii="Times New Roman" w:hAnsi="Times New Roman" w:cs="Times New Roman" w:eastAsia="Times New Roman"/>
          <w:b w:val="0"/>
          <w:sz w:val="24"/>
        </w:rPr>
        <w:t>16 agosto 2026</w:t>
      </w:r>
    </w:p>
    <w:p>
      <w:pPr>
        <w:spacing w:line="276" w:lineRule="auto" w:after="0"/>
        <w:ind w:firstLine="0"/>
        <w:jc w:val="center"/>
      </w:pPr>
    </w:p>
    <w:p>
      <w:pPr>
        <w:spacing w:line="276" w:lineRule="auto" w:after="0"/>
        <w:ind w:firstLine="0"/>
        <w:jc w:val="both"/>
      </w:pPr>
      <w:r>
        <w:rPr>
          <w:rFonts w:ascii="Times New Roman" w:hAnsi="Times New Roman" w:cs="Times New Roman" w:eastAsia="Times New Roman"/>
          <w:b/>
          <w:sz w:val="24"/>
        </w:rPr>
        <w:t>Capitolo primo — L'esecuzione di due voci che io stesso avevo catalogato</w:t>
      </w:r>
    </w:p>
    <w:p>
      <w:pPr>
        <w:spacing w:line="276" w:lineRule="auto" w:after="0"/>
        <w:ind w:firstLine="425"/>
        <w:jc w:val="both"/>
      </w:pPr>
      <w:r>
        <w:rPr>
          <w:rFonts w:ascii="Times New Roman" w:hAnsi="Times New Roman" w:cs="Times New Roman" w:eastAsia="Times New Roman"/>
          <w:b w:val="0"/>
          <w:sz w:val="24"/>
        </w:rPr>
        <w:t xml:space="preserve">Questa ricognizione non apre un perimetro. </w:t>
      </w:r>
      <w:r>
        <w:rPr>
          <w:rFonts w:ascii="Times New Roman" w:hAnsi="Times New Roman" w:cs="Times New Roman" w:eastAsia="Times New Roman"/>
          <w:b/>
          <w:sz w:val="24"/>
        </w:rPr>
        <w:t>Esegue due voci che due ricognizioni anteriori avevano iscritto nelle proprie tavole come le acquisizioni di più basso costo e più alto rendimento, e che erano rimaste ineseguite.</w:t>
      </w:r>
    </w:p>
    <w:p>
      <w:pPr>
        <w:spacing w:line="276" w:lineRule="auto" w:after="0"/>
        <w:ind w:firstLine="425"/>
        <w:jc w:val="both"/>
      </w:pPr>
      <w:r>
        <w:rPr>
          <w:rFonts w:ascii="Times New Roman" w:hAnsi="Times New Roman" w:cs="Times New Roman" w:eastAsia="Times New Roman"/>
          <w:b/>
          <w:sz w:val="24"/>
        </w:rPr>
        <w:t>La prima voce, iscritta alla tredicesima ricognizione</w:t>
      </w:r>
      <w:r>
        <w:rPr>
          <w:rFonts w:ascii="Times New Roman" w:hAnsi="Times New Roman" w:cs="Times New Roman" w:eastAsia="Times New Roman"/>
          <w:b w:val="0"/>
          <w:sz w:val="24"/>
        </w:rPr>
        <w:t xml:space="preserve">, dichiarava il testo delle due lettere italiane alle Nazioni Unite </w:t>
      </w:r>
      <w:r>
        <w:rPr>
          <w:rFonts w:ascii="Times New Roman" w:hAnsi="Times New Roman" w:cs="Times New Roman" w:eastAsia="Times New Roman"/>
          <w:b/>
          <w:sz w:val="24"/>
        </w:rPr>
        <w:t>l'acquisizione a più basso costo e più rapido rendimento dell'intera tavola</w:t>
      </w:r>
      <w:r>
        <w:rPr>
          <w:rFonts w:ascii="Times New Roman" w:hAnsi="Times New Roman" w:cs="Times New Roman" w:eastAsia="Times New Roman"/>
          <w:b w:val="0"/>
          <w:sz w:val="24"/>
        </w:rPr>
        <w:t xml:space="preserve">, con condizione di chiusura </w:t>
      </w:r>
      <w:r>
        <w:rPr>
          <w:rFonts w:ascii="Times New Roman" w:hAnsi="Times New Roman" w:cs="Times New Roman" w:eastAsia="Times New Roman"/>
          <w:b/>
          <w:sz w:val="24"/>
        </w:rPr>
        <w:t>meramente tecnica, l'accesso ai file.</w:t>
      </w:r>
    </w:p>
    <w:p>
      <w:pPr>
        <w:spacing w:line="276" w:lineRule="auto" w:after="0"/>
        <w:ind w:firstLine="0"/>
        <w:jc w:val="both"/>
      </w:pPr>
      <w:r>
        <w:rPr>
          <w:rFonts w:ascii="Times New Roman" w:hAnsi="Times New Roman" w:cs="Times New Roman" w:eastAsia="Times New Roman"/>
          <w:b/>
          <w:sz w:val="24"/>
        </w:rPr>
        <w:t>La seconda, iscritta alla sedicesima**, dichiarava i voti italiani all'Assemblea generale sulla Namibia di **rendimento alto perché i documenti esistono con certezza.</w:t>
      </w:r>
    </w:p>
    <w:p>
      <w:pPr>
        <w:spacing w:line="276" w:lineRule="auto" w:after="0"/>
        <w:ind w:firstLine="0"/>
        <w:jc w:val="both"/>
      </w:pPr>
      <w:r>
        <w:rPr>
          <w:rFonts w:ascii="Times New Roman" w:hAnsi="Times New Roman" w:cs="Times New Roman" w:eastAsia="Times New Roman"/>
          <w:b/>
          <w:sz w:val="24"/>
        </w:rPr>
        <w:t>Nessuna delle due era stata eseguita. Sedici ricognizioni hanno costruito tavole di ciò che andrebbe fatto, e le due voci che io stesso avevo giudicato le più facili erano rimaste lì.</w:t>
      </w:r>
    </w:p>
    <w:p>
      <w:pPr>
        <w:spacing w:line="276" w:lineRule="auto" w:after="0"/>
        <w:ind w:firstLine="0"/>
        <w:jc w:val="both"/>
      </w:pPr>
      <w:r>
        <w:rPr>
          <w:rFonts w:ascii="Times New Roman" w:hAnsi="Times New Roman" w:cs="Times New Roman" w:eastAsia="Times New Roman"/>
          <w:b/>
          <w:sz w:val="24"/>
        </w:rPr>
        <w:t>L'esito, anticipato, è misto e istruttivo in entrambe le direzioni.</w:t>
      </w:r>
    </w:p>
    <w:p>
      <w:pPr>
        <w:spacing w:line="276" w:lineRule="auto" w:after="0"/>
        <w:ind w:firstLine="0"/>
        <w:jc w:val="both"/>
      </w:pPr>
      <w:r>
        <w:rPr>
          <w:rFonts w:ascii="Times New Roman" w:hAnsi="Times New Roman" w:cs="Times New Roman" w:eastAsia="Times New Roman"/>
          <w:b/>
          <w:sz w:val="24"/>
        </w:rPr>
        <w:t>La seconda voce è stata eseguita con pieno successo, e ha prodotto una correzione alla sedicesima ricognizione che il Capitolo settimo espone.</w:t>
      </w:r>
    </w:p>
    <w:p>
      <w:pPr>
        <w:spacing w:line="276" w:lineRule="auto" w:after="0"/>
        <w:ind w:firstLine="0"/>
        <w:jc w:val="both"/>
      </w:pPr>
      <w:r>
        <w:rPr>
          <w:rFonts w:ascii="Times New Roman" w:hAnsi="Times New Roman" w:cs="Times New Roman" w:eastAsia="Times New Roman"/>
          <w:b/>
          <w:sz w:val="24"/>
        </w:rPr>
        <w:t>La prima è stata eseguita a metà, e il modo in cui è fallita costituisce, secondo me, il contributo metodologico di questo documento: il Capitolo undicesimo propone per esso un decimo grado di Stato Zero.</w:t>
      </w:r>
    </w:p>
    <w:p>
      <w:pPr>
        <w:spacing w:line="276" w:lineRule="auto" w:after="0"/>
        <w:ind w:firstLine="425"/>
        <w:jc w:val="both"/>
      </w:pPr>
      <w:r>
        <w:rPr>
          <w:rFonts w:ascii="Times New Roman" w:hAnsi="Times New Roman" w:cs="Times New Roman" w:eastAsia="Times New Roman"/>
          <w:b/>
          <w:sz w:val="24"/>
        </w:rPr>
        <w:t>Il metodo di questa ricognizione differisce dalle precedenti e va dichiarato.</w:t>
      </w:r>
      <w:r>
        <w:rPr>
          <w:rFonts w:ascii="Times New Roman" w:hAnsi="Times New Roman" w:cs="Times New Roman" w:eastAsia="Times New Roman"/>
          <w:b w:val="0"/>
          <w:sz w:val="24"/>
        </w:rPr>
        <w:t xml:space="preserve"> Non è ricerca tematica ma </w:t>
      </w:r>
      <w:r>
        <w:rPr>
          <w:rFonts w:ascii="Times New Roman" w:hAnsi="Times New Roman" w:cs="Times New Roman" w:eastAsia="Times New Roman"/>
          <w:b/>
          <w:sz w:val="24"/>
        </w:rPr>
        <w:t>reperimento documentale.</w:t>
      </w:r>
      <w:r>
        <w:rPr>
          <w:rFonts w:ascii="Times New Roman" w:hAnsi="Times New Roman" w:cs="Times New Roman" w:eastAsia="Times New Roman"/>
          <w:b w:val="0"/>
          <w:sz w:val="24"/>
        </w:rPr>
        <w:t xml:space="preserve"> Il pregio non sta nell'ampiezza della trattazione ma </w:t>
      </w:r>
      <w:r>
        <w:rPr>
          <w:rFonts w:ascii="Times New Roman" w:hAnsi="Times New Roman" w:cs="Times New Roman" w:eastAsia="Times New Roman"/>
          <w:b/>
          <w:sz w:val="24"/>
        </w:rPr>
        <w:t>nella precisione del dato primario: numeri di documento, date, risultati numerici di voto.</w:t>
      </w:r>
    </w:p>
    <w:p>
      <w:pPr>
        <w:spacing w:line="276" w:lineRule="auto" w:after="0"/>
        <w:ind w:firstLine="0"/>
        <w:jc w:val="both"/>
      </w:pPr>
      <w:r>
        <w:rPr>
          <w:rFonts w:ascii="Times New Roman" w:hAnsi="Times New Roman" w:cs="Times New Roman" w:eastAsia="Times New Roman"/>
          <w:b/>
          <w:sz w:val="24"/>
        </w:rPr>
        <w:t>Ne discende che dove il dato manca il capitolo è breve, e la brevità è essa stessa il risultato.</w:t>
      </w:r>
    </w:p>
    <w:p>
      <w:pPr>
        <w:spacing w:line="276" w:lineRule="auto" w:after="0"/>
        <w:ind w:firstLine="0"/>
        <w:jc w:val="both"/>
      </w:pPr>
      <w:r>
        <w:rPr>
          <w:rFonts w:ascii="Times New Roman" w:hAnsi="Times New Roman" w:cs="Times New Roman" w:eastAsia="Times New Roman"/>
          <w:b/>
          <w:sz w:val="24"/>
        </w:rPr>
        <w:t>Capitolo secondo — La lettera del 6 febbraio 1970</w:t>
      </w:r>
    </w:p>
    <w:p>
      <w:pPr>
        <w:spacing w:line="276" w:lineRule="auto" w:after="0"/>
        <w:ind w:firstLine="425"/>
        <w:jc w:val="both"/>
      </w:pPr>
      <w:r>
        <w:rPr>
          <w:rFonts w:ascii="Times New Roman" w:hAnsi="Times New Roman" w:cs="Times New Roman" w:eastAsia="Times New Roman"/>
          <w:b w:val="0"/>
          <w:sz w:val="24"/>
        </w:rPr>
        <w:t>Il capitolo espone il primo dei tre documenti cercati, e distingue con precisione ciò che è stato reperito da ciò che non lo è stato.</w:t>
      </w:r>
    </w:p>
    <w:p>
      <w:pPr>
        <w:spacing w:line="276" w:lineRule="auto" w:after="0"/>
        <w:ind w:firstLine="425"/>
        <w:jc w:val="both"/>
      </w:pPr>
      <w:r>
        <w:rPr>
          <w:rFonts w:ascii="Times New Roman" w:hAnsi="Times New Roman" w:cs="Times New Roman" w:eastAsia="Times New Roman"/>
          <w:b/>
          <w:sz w:val="24"/>
        </w:rPr>
        <w:t>Il documento è reperito e identificato con certezza a livello catalografico.</w:t>
      </w:r>
      <w:r>
        <w:rPr>
          <w:rFonts w:ascii="Times New Roman" w:hAnsi="Times New Roman" w:cs="Times New Roman" w:eastAsia="Times New Roman"/>
          <w:b w:val="0"/>
          <w:sz w:val="24"/>
        </w:rPr>
        <w:t xml:space="preserve"> Record </w:t>
      </w:r>
      <w:r>
        <w:rPr>
          <w:rFonts w:ascii="Times New Roman" w:hAnsi="Times New Roman" w:cs="Times New Roman" w:eastAsia="Times New Roman"/>
          <w:b/>
          <w:sz w:val="24"/>
        </w:rPr>
        <w:t>cinquecentotremilaquattrocentonovantasei</w:t>
      </w:r>
      <w:r>
        <w:rPr>
          <w:rFonts w:ascii="Times New Roman" w:hAnsi="Times New Roman" w:cs="Times New Roman" w:eastAsia="Times New Roman"/>
          <w:b w:val="0"/>
          <w:sz w:val="24"/>
        </w:rPr>
        <w:t xml:space="preserve"> dello United Nations Digital Library, segnatura ufficiale completa </w:t>
      </w:r>
      <w:r>
        <w:rPr>
          <w:rFonts w:ascii="Times New Roman" w:hAnsi="Times New Roman" w:cs="Times New Roman" w:eastAsia="Times New Roman"/>
          <w:b/>
          <w:sz w:val="24"/>
        </w:rPr>
        <w:t>S/9640</w:t>
      </w:r>
      <w:r>
        <w:rPr>
          <w:rFonts w:ascii="Times New Roman" w:hAnsi="Times New Roman" w:cs="Times New Roman" w:eastAsia="Times New Roman"/>
          <w:b w:val="0"/>
          <w:sz w:val="24"/>
        </w:rPr>
        <w:t>, con file previsti in inglese, spagnolo, francese e russo.</w:t>
      </w:r>
    </w:p>
    <w:p>
      <w:pPr>
        <w:spacing w:line="276" w:lineRule="auto" w:after="0"/>
        <w:ind w:firstLine="425"/>
        <w:jc w:val="both"/>
      </w:pPr>
      <w:r>
        <w:rPr>
          <w:rFonts w:ascii="Times New Roman" w:hAnsi="Times New Roman" w:cs="Times New Roman" w:eastAsia="Times New Roman"/>
          <w:b/>
          <w:sz w:val="24"/>
        </w:rPr>
        <w:t>Il titolo ufficiale:</w:t>
      </w:r>
      <w:r>
        <w:rPr>
          <w:rFonts w:ascii="Times New Roman" w:hAnsi="Times New Roman" w:cs="Times New Roman" w:eastAsia="Times New Roman"/>
          <w:b w:val="0"/>
          <w:sz w:val="24"/>
        </w:rPr>
        <w:t xml:space="preserve"> *Lettera datata 6 febbraio 1970 dal Rappresentante permanente d'Italia indirizzata al Presidente del Consiglio di Sicurezza.*</w:t>
      </w:r>
    </w:p>
    <w:p>
      <w:pPr>
        <w:spacing w:line="276" w:lineRule="auto" w:after="0"/>
        <w:ind w:firstLine="425"/>
        <w:jc w:val="both"/>
      </w:pPr>
      <w:r>
        <w:rPr>
          <w:rFonts w:ascii="Times New Roman" w:hAnsi="Times New Roman" w:cs="Times New Roman" w:eastAsia="Times New Roman"/>
          <w:b/>
          <w:sz w:val="24"/>
        </w:rPr>
        <w:t>L'abstract catalografico, riportato per intero perché è quanto di più vicino al contenuto si sia potuto raggiungere:</w:t>
      </w:r>
      <w:r>
        <w:rPr>
          <w:rFonts w:ascii="Times New Roman" w:hAnsi="Times New Roman" w:cs="Times New Roman" w:eastAsia="Times New Roman"/>
          <w:b w:val="0"/>
          <w:sz w:val="24"/>
        </w:rPr>
        <w:t xml:space="preserve"> *si riferisce alla seduta del Consiglio di Sicurezza del 27 gennaio 1970 e confuta la dichiarazione dello Zambia secondo cui l'Italia avrebbe rifiutato di imporre un divieto alla vendita di armi al Sudafrica.*</w:t>
      </w:r>
    </w:p>
    <w:p>
      <w:pPr>
        <w:spacing w:line="276" w:lineRule="auto" w:after="0"/>
        <w:ind w:firstLine="425"/>
        <w:jc w:val="both"/>
      </w:pPr>
      <w:r>
        <w:rPr>
          <w:rFonts w:ascii="Times New Roman" w:hAnsi="Times New Roman" w:cs="Times New Roman" w:eastAsia="Times New Roman"/>
          <w:b/>
          <w:sz w:val="24"/>
        </w:rPr>
        <w:t>L'estensore, con la qualificazione dell'attribuzione.</w:t>
      </w:r>
      <w:r>
        <w:rPr>
          <w:rFonts w:ascii="Times New Roman" w:hAnsi="Times New Roman" w:cs="Times New Roman" w:eastAsia="Times New Roman"/>
          <w:b w:val="0"/>
          <w:sz w:val="24"/>
        </w:rPr>
        <w:t xml:space="preserve"> La lettera fu firmata dal Rappresentante permanente in carica nel febbraio 1970, che era </w:t>
      </w:r>
      <w:r>
        <w:rPr>
          <w:rFonts w:ascii="Times New Roman" w:hAnsi="Times New Roman" w:cs="Times New Roman" w:eastAsia="Times New Roman"/>
          <w:b/>
          <w:sz w:val="24"/>
        </w:rPr>
        <w:t>Piero Vinci</w:t>
      </w:r>
      <w:r>
        <w:rPr>
          <w:rFonts w:ascii="Times New Roman" w:hAnsi="Times New Roman" w:cs="Times New Roman" w:eastAsia="Times New Roman"/>
          <w:b w:val="0"/>
          <w:sz w:val="24"/>
        </w:rPr>
        <w:t xml:space="preserve">: la lista ufficiale lo registra come </w:t>
      </w:r>
      <w:r>
        <w:rPr>
          <w:rFonts w:ascii="Times New Roman" w:hAnsi="Times New Roman" w:cs="Times New Roman" w:eastAsia="Times New Roman"/>
          <w:b/>
          <w:sz w:val="24"/>
        </w:rPr>
        <w:t>settimo titolare, in carica dal 1964 al 1973</w:t>
      </w:r>
      <w:r>
        <w:rPr>
          <w:rFonts w:ascii="Times New Roman" w:hAnsi="Times New Roman" w:cs="Times New Roman" w:eastAsia="Times New Roman"/>
          <w:b w:val="0"/>
          <w:sz w:val="24"/>
        </w:rPr>
        <w:t>, con un secondo mandato dal 1975 al 1979. Il febbraio 1970 ricade nel primo.</w:t>
      </w:r>
    </w:p>
    <w:p>
      <w:pPr>
        <w:spacing w:line="276" w:lineRule="auto" w:after="0"/>
        <w:ind w:firstLine="0"/>
        <w:jc w:val="both"/>
      </w:pPr>
      <w:r>
        <w:rPr>
          <w:rFonts w:ascii="Times New Roman" w:hAnsi="Times New Roman" w:cs="Times New Roman" w:eastAsia="Times New Roman"/>
          <w:b/>
          <w:sz w:val="24"/>
        </w:rPr>
        <w:t>L'attribuzione discende dalle date di titolarità della carica e non dalla lettura della firma, poiché il documento non è stato aperto. La distinzione va mantenuta.</w:t>
      </w:r>
    </w:p>
    <w:p>
      <w:pPr>
        <w:spacing w:line="276" w:lineRule="auto" w:after="0"/>
        <w:ind w:firstLine="425"/>
        <w:jc w:val="both"/>
      </w:pPr>
      <w:r>
        <w:rPr>
          <w:rFonts w:ascii="Times New Roman" w:hAnsi="Times New Roman" w:cs="Times New Roman" w:eastAsia="Times New Roman"/>
          <w:b/>
          <w:sz w:val="24"/>
        </w:rPr>
        <w:t>Si esclude Sergio Fenoaltea</w:t>
      </w:r>
      <w:r>
        <w:rPr>
          <w:rFonts w:ascii="Times New Roman" w:hAnsi="Times New Roman" w:cs="Times New Roman" w:eastAsia="Times New Roman"/>
          <w:b w:val="0"/>
          <w:sz w:val="24"/>
        </w:rPr>
        <w:t>, che fu ambasciatore a Washington fino al 1967 e non presso le Nazioni Unite.</w:t>
      </w:r>
    </w:p>
    <w:p>
      <w:pPr>
        <w:spacing w:line="276" w:lineRule="auto" w:after="0"/>
        <w:ind w:firstLine="0"/>
        <w:jc w:val="both"/>
      </w:pPr>
      <w:r>
        <w:rPr>
          <w:rFonts w:ascii="Times New Roman" w:hAnsi="Times New Roman" w:cs="Times New Roman" w:eastAsia="Times New Roman"/>
          <w:b/>
          <w:sz w:val="24"/>
        </w:rPr>
        <w:t>E adesso ciò che non si è ottenuto, dichiarato senza attenuazioni.</w:t>
      </w:r>
    </w:p>
    <w:p>
      <w:pPr>
        <w:spacing w:line="276" w:lineRule="auto" w:after="0"/>
        <w:ind w:firstLine="0"/>
        <w:jc w:val="both"/>
      </w:pPr>
      <w:r>
        <w:rPr>
          <w:rFonts w:ascii="Times New Roman" w:hAnsi="Times New Roman" w:cs="Times New Roman" w:eastAsia="Times New Roman"/>
          <w:b/>
          <w:sz w:val="24"/>
        </w:rPr>
        <w:t>Il testo del corpo della lettera non è stato recuperato.</w:t>
      </w:r>
    </w:p>
    <w:p>
      <w:pPr>
        <w:spacing w:line="276" w:lineRule="auto" w:after="0"/>
        <w:ind w:firstLine="425"/>
        <w:jc w:val="both"/>
      </w:pPr>
      <w:r>
        <w:rPr>
          <w:rFonts w:ascii="Times New Roman" w:hAnsi="Times New Roman" w:cs="Times New Roman" w:eastAsia="Times New Roman"/>
          <w:b/>
          <w:sz w:val="24"/>
        </w:rPr>
        <w:t>La ragione non è archivistica: il documento è pubblico, catalogato, indicizzato, e possiede un indirizzo di reperimento. Il server documentale delle Nazioni Unite ha respinto ogni tentativo di recupero automatizzato dei file, per rilevamento anti-robot.</w:t>
      </w:r>
    </w:p>
    <w:p>
      <w:pPr>
        <w:spacing w:line="276" w:lineRule="auto" w:after="0"/>
        <w:ind w:firstLine="0"/>
        <w:jc w:val="both"/>
      </w:pPr>
      <w:r>
        <w:rPr>
          <w:rFonts w:ascii="Times New Roman" w:hAnsi="Times New Roman" w:cs="Times New Roman" w:eastAsia="Times New Roman"/>
          <w:b/>
          <w:sz w:val="24"/>
        </w:rPr>
        <w:t>Ne discende che quanto si sa del contenuto proviene dall'oggetto ufficiale e non dal testo: l'Italia respinse la tesi zambiana e affermò di osservare il divieto di vendita di armi al Sudafrica.</w:t>
      </w:r>
    </w:p>
    <w:p>
      <w:pPr>
        <w:spacing w:line="276" w:lineRule="auto" w:after="0"/>
        <w:ind w:firstLine="0"/>
        <w:jc w:val="both"/>
      </w:pPr>
      <w:r>
        <w:rPr>
          <w:rFonts w:ascii="Times New Roman" w:hAnsi="Times New Roman" w:cs="Times New Roman" w:eastAsia="Times New Roman"/>
          <w:b/>
          <w:sz w:val="24"/>
        </w:rPr>
        <w:t>Che cosa esattamente affermasse, con quali argomenti, e se menzionasse la licenza Aermacchi già in essere dal 1964, resta ignoto.</w:t>
      </w:r>
    </w:p>
    <w:p>
      <w:pPr>
        <w:spacing w:line="276" w:lineRule="auto" w:after="0"/>
        <w:ind w:firstLine="0"/>
        <w:jc w:val="both"/>
      </w:pPr>
      <w:r>
        <w:rPr>
          <w:rFonts w:ascii="Times New Roman" w:hAnsi="Times New Roman" w:cs="Times New Roman" w:eastAsia="Times New Roman"/>
          <w:b/>
          <w:sz w:val="24"/>
        </w:rPr>
        <w:t>Capitolo terzo — Il gemello tedesco, e la scoperta che il perimetro non prevedeva</w:t>
      </w:r>
    </w:p>
    <w:p>
      <w:pPr>
        <w:spacing w:line="276" w:lineRule="auto" w:after="0"/>
        <w:ind w:firstLine="425"/>
        <w:jc w:val="both"/>
      </w:pPr>
      <w:r>
        <w:rPr>
          <w:rFonts w:ascii="Times New Roman" w:hAnsi="Times New Roman" w:cs="Times New Roman" w:eastAsia="Times New Roman"/>
          <w:b w:val="0"/>
          <w:sz w:val="24"/>
        </w:rPr>
        <w:t>Il capitolo espone il ritrovamento che la ricerca non cercava e che tocca direttamente la sedicesima ricognizione.</w:t>
      </w:r>
    </w:p>
    <w:p>
      <w:pPr>
        <w:spacing w:line="276" w:lineRule="auto" w:after="0"/>
        <w:ind w:firstLine="425"/>
        <w:jc w:val="both"/>
      </w:pPr>
      <w:r>
        <w:rPr>
          <w:rFonts w:ascii="Times New Roman" w:hAnsi="Times New Roman" w:cs="Times New Roman" w:eastAsia="Times New Roman"/>
          <w:b/>
          <w:sz w:val="24"/>
        </w:rPr>
        <w:t>La fonte dell'accusa, prima.</w:t>
      </w:r>
      <w:r>
        <w:rPr>
          <w:rFonts w:ascii="Times New Roman" w:hAnsi="Times New Roman" w:cs="Times New Roman" w:eastAsia="Times New Roman"/>
          <w:b w:val="0"/>
          <w:sz w:val="24"/>
        </w:rPr>
        <w:t xml:space="preserve"> L'affermazione zambiana confutata </w:t>
      </w:r>
      <w:r>
        <w:rPr>
          <w:rFonts w:ascii="Times New Roman" w:hAnsi="Times New Roman" w:cs="Times New Roman" w:eastAsia="Times New Roman"/>
          <w:b/>
          <w:sz w:val="24"/>
        </w:rPr>
        <w:t>non è un documento numerato bensì una dichiarazione resa oralmente nella milleseicentoventisettesima seduta del Consiglio di Sicurezza</w:t>
      </w:r>
      <w:r>
        <w:rPr>
          <w:rFonts w:ascii="Times New Roman" w:hAnsi="Times New Roman" w:cs="Times New Roman" w:eastAsia="Times New Roman"/>
          <w:b w:val="0"/>
          <w:sz w:val="24"/>
        </w:rPr>
        <w:t xml:space="preserve">, verbale S/PV.1527, tenutasi il </w:t>
      </w:r>
      <w:r>
        <w:rPr>
          <w:rFonts w:ascii="Times New Roman" w:hAnsi="Times New Roman" w:cs="Times New Roman" w:eastAsia="Times New Roman"/>
          <w:b/>
          <w:sz w:val="24"/>
        </w:rPr>
        <w:t>27 e 28 gennaio 1970.</w:t>
      </w:r>
    </w:p>
    <w:p>
      <w:pPr>
        <w:spacing w:line="276" w:lineRule="auto" w:after="0"/>
        <w:ind w:firstLine="425"/>
        <w:jc w:val="both"/>
      </w:pPr>
      <w:r>
        <w:rPr>
          <w:rFonts w:ascii="Times New Roman" w:hAnsi="Times New Roman" w:cs="Times New Roman" w:eastAsia="Times New Roman"/>
          <w:b/>
          <w:sz w:val="24"/>
        </w:rPr>
        <w:t>Lo Zambia era in quell'anno membro non permanente del Consiglio</w:t>
      </w:r>
      <w:r>
        <w:rPr>
          <w:rFonts w:ascii="Times New Roman" w:hAnsi="Times New Roman" w:cs="Times New Roman" w:eastAsia="Times New Roman"/>
          <w:b w:val="0"/>
          <w:sz w:val="24"/>
        </w:rPr>
        <w:t>, e fu tra i promotori della linea che avrebbe condotto alla risoluzione duecentottantadue del luglio 1970.</w:t>
      </w:r>
    </w:p>
    <w:p>
      <w:pPr>
        <w:spacing w:line="276" w:lineRule="auto" w:after="0"/>
        <w:ind w:firstLine="0"/>
        <w:jc w:val="both"/>
      </w:pPr>
      <w:r>
        <w:rPr>
          <w:rFonts w:ascii="Times New Roman" w:hAnsi="Times New Roman" w:cs="Times New Roman" w:eastAsia="Times New Roman"/>
          <w:b/>
          <w:sz w:val="24"/>
        </w:rPr>
        <w:t>E adesso il documento parallelo.</w:t>
      </w:r>
    </w:p>
    <w:p>
      <w:pPr>
        <w:spacing w:line="276" w:lineRule="auto" w:after="0"/>
        <w:ind w:firstLine="425"/>
        <w:jc w:val="both"/>
      </w:pPr>
      <w:r>
        <w:rPr>
          <w:rFonts w:ascii="Times New Roman" w:hAnsi="Times New Roman" w:cs="Times New Roman" w:eastAsia="Times New Roman"/>
          <w:b/>
          <w:sz w:val="24"/>
        </w:rPr>
        <w:t>Segnatura S/9648</w:t>
      </w:r>
      <w:r>
        <w:rPr>
          <w:rFonts w:ascii="Times New Roman" w:hAnsi="Times New Roman" w:cs="Times New Roman" w:eastAsia="Times New Roman"/>
          <w:b w:val="0"/>
          <w:sz w:val="24"/>
        </w:rPr>
        <w:t xml:space="preserve">, record </w:t>
      </w:r>
      <w:r>
        <w:rPr>
          <w:rFonts w:ascii="Times New Roman" w:hAnsi="Times New Roman" w:cs="Times New Roman" w:eastAsia="Times New Roman"/>
          <w:b/>
          <w:sz w:val="24"/>
        </w:rPr>
        <w:t>cinquecentotremilasettecentosettantanove</w:t>
      </w:r>
      <w:r>
        <w:rPr>
          <w:rFonts w:ascii="Times New Roman" w:hAnsi="Times New Roman" w:cs="Times New Roman" w:eastAsia="Times New Roman"/>
          <w:b w:val="0"/>
          <w:sz w:val="24"/>
        </w:rPr>
        <w:t xml:space="preserve">: *Nota del Presidente del Consiglio di Sicurezza* datata </w:t>
      </w:r>
      <w:r>
        <w:rPr>
          <w:rFonts w:ascii="Times New Roman" w:hAnsi="Times New Roman" w:cs="Times New Roman" w:eastAsia="Times New Roman"/>
          <w:b/>
          <w:sz w:val="24"/>
        </w:rPr>
        <w:t>13 febbraio 1970</w:t>
      </w:r>
      <w:r>
        <w:rPr>
          <w:rFonts w:ascii="Times New Roman" w:hAnsi="Times New Roman" w:cs="Times New Roman" w:eastAsia="Times New Roman"/>
          <w:b w:val="0"/>
          <w:sz w:val="24"/>
        </w:rPr>
        <w:t xml:space="preserve">, che allega </w:t>
      </w:r>
      <w:r>
        <w:rPr>
          <w:rFonts w:ascii="Times New Roman" w:hAnsi="Times New Roman" w:cs="Times New Roman" w:eastAsia="Times New Roman"/>
          <w:b/>
          <w:sz w:val="24"/>
        </w:rPr>
        <w:t>una lettera dell'11 febbraio 1970 dell'Osservatore permanente supplente della Repubblica Federale di Germania.</w:t>
      </w:r>
    </w:p>
    <w:p>
      <w:pPr>
        <w:spacing w:line="276" w:lineRule="auto" w:after="0"/>
        <w:ind w:firstLine="0"/>
        <w:jc w:val="both"/>
      </w:pPr>
      <w:r>
        <w:rPr>
          <w:rFonts w:ascii="Times New Roman" w:hAnsi="Times New Roman" w:cs="Times New Roman" w:eastAsia="Times New Roman"/>
          <w:b/>
          <w:sz w:val="24"/>
        </w:rPr>
        <w:t>Il suo abstract dichiara che essa confuta la dichiarazione del rappresentante dello Zambia riguardo alla vendita di armi al Sudafrica.</w:t>
      </w:r>
    </w:p>
    <w:p>
      <w:pPr>
        <w:spacing w:line="276" w:lineRule="auto" w:after="0"/>
        <w:ind w:firstLine="0"/>
        <w:jc w:val="both"/>
      </w:pPr>
      <w:r>
        <w:rPr>
          <w:rFonts w:ascii="Times New Roman" w:hAnsi="Times New Roman" w:cs="Times New Roman" w:eastAsia="Times New Roman"/>
          <w:b/>
          <w:sz w:val="24"/>
        </w:rPr>
        <w:t>La medesima accusa. La medesima confutazione. A cinque giorni di distanza.</w:t>
      </w:r>
    </w:p>
    <w:p>
      <w:pPr>
        <w:spacing w:line="276" w:lineRule="auto" w:after="0"/>
        <w:ind w:firstLine="425"/>
        <w:jc w:val="both"/>
      </w:pPr>
      <w:r>
        <w:rPr>
          <w:rFonts w:ascii="Times New Roman" w:hAnsi="Times New Roman" w:cs="Times New Roman" w:eastAsia="Times New Roman"/>
          <w:b/>
          <w:sz w:val="24"/>
        </w:rPr>
        <w:t>Un dettaglio formale va spiegato perché è rivelatore.</w:t>
      </w:r>
      <w:r>
        <w:rPr>
          <w:rFonts w:ascii="Times New Roman" w:hAnsi="Times New Roman" w:cs="Times New Roman" w:eastAsia="Times New Roman"/>
          <w:b w:val="0"/>
          <w:sz w:val="24"/>
        </w:rPr>
        <w:t xml:space="preserve"> La Germania figura come </w:t>
      </w:r>
      <w:r>
        <w:rPr>
          <w:rFonts w:ascii="Times New Roman" w:hAnsi="Times New Roman" w:cs="Times New Roman" w:eastAsia="Times New Roman"/>
          <w:b/>
          <w:sz w:val="24"/>
        </w:rPr>
        <w:t>Osservatore</w:t>
      </w:r>
      <w:r>
        <w:rPr>
          <w:rFonts w:ascii="Times New Roman" w:hAnsi="Times New Roman" w:cs="Times New Roman" w:eastAsia="Times New Roman"/>
          <w:b w:val="0"/>
          <w:sz w:val="24"/>
        </w:rPr>
        <w:t xml:space="preserve"> e non come </w:t>
      </w:r>
      <w:r>
        <w:rPr>
          <w:rFonts w:ascii="Times New Roman" w:hAnsi="Times New Roman" w:cs="Times New Roman" w:eastAsia="Times New Roman"/>
          <w:b/>
          <w:sz w:val="24"/>
        </w:rPr>
        <w:t>Rappresentante permanente</w:t>
      </w:r>
      <w:r>
        <w:rPr>
          <w:rFonts w:ascii="Times New Roman" w:hAnsi="Times New Roman" w:cs="Times New Roman" w:eastAsia="Times New Roman"/>
          <w:b w:val="0"/>
          <w:sz w:val="24"/>
        </w:rPr>
        <w:t xml:space="preserve"> perché </w:t>
      </w:r>
      <w:r>
        <w:rPr>
          <w:rFonts w:ascii="Times New Roman" w:hAnsi="Times New Roman" w:cs="Times New Roman" w:eastAsia="Times New Roman"/>
          <w:b/>
          <w:sz w:val="24"/>
        </w:rPr>
        <w:t>nel 1970 essa non era ancora membro delle Nazioni Unite</w:t>
      </w:r>
      <w:r>
        <w:rPr>
          <w:rFonts w:ascii="Times New Roman" w:hAnsi="Times New Roman" w:cs="Times New Roman" w:eastAsia="Times New Roman"/>
          <w:b w:val="0"/>
          <w:sz w:val="24"/>
        </w:rPr>
        <w:t xml:space="preserve"> — vi entrò nel settembre 1973.</w:t>
      </w:r>
    </w:p>
    <w:p>
      <w:pPr>
        <w:spacing w:line="276" w:lineRule="auto" w:after="0"/>
        <w:ind w:firstLine="0"/>
        <w:jc w:val="both"/>
      </w:pPr>
      <w:r>
        <w:rPr>
          <w:rFonts w:ascii="Times New Roman" w:hAnsi="Times New Roman" w:cs="Times New Roman" w:eastAsia="Times New Roman"/>
          <w:b/>
          <w:sz w:val="24"/>
        </w:rPr>
        <w:t>Ne discende che la Repubblica Federale, priva di seggio e persino di rappresentanza piena, dovette far pervenire la propria confutazione attraverso la nota del Presidente del Consiglio anziché con lettera diretta.</w:t>
      </w:r>
    </w:p>
    <w:p>
      <w:pPr>
        <w:spacing w:line="276" w:lineRule="auto" w:after="0"/>
        <w:ind w:firstLine="0"/>
        <w:jc w:val="both"/>
      </w:pPr>
      <w:r>
        <w:rPr>
          <w:rFonts w:ascii="Times New Roman" w:hAnsi="Times New Roman" w:cs="Times New Roman" w:eastAsia="Times New Roman"/>
          <w:b/>
          <w:sz w:val="24"/>
        </w:rPr>
        <w:t>Italia e Germania Federale reagirono dunque in modo speculare alla medesima accusa zambiana, ciascuna con lo strumento che il proprio statuto le consentiva.</w:t>
      </w:r>
    </w:p>
    <w:p>
      <w:pPr>
        <w:spacing w:line="276" w:lineRule="auto" w:after="0"/>
        <w:ind w:firstLine="0"/>
        <w:jc w:val="both"/>
      </w:pPr>
      <w:r>
        <w:rPr>
          <w:rFonts w:ascii="Times New Roman" w:hAnsi="Times New Roman" w:cs="Times New Roman" w:eastAsia="Times New Roman"/>
          <w:b/>
          <w:sz w:val="24"/>
        </w:rPr>
        <w:t>E qui il ritrovamento tocca la sedicesima ricognizione, che si era chiusa con questa affermazione: la divergenza sulle sanzioni suggerisce che Roma e Bonn non agissero come blocco.</w:t>
      </w:r>
    </w:p>
    <w:p>
      <w:pPr>
        <w:spacing w:line="276" w:lineRule="auto" w:after="0"/>
        <w:ind w:firstLine="0"/>
        <w:jc w:val="both"/>
      </w:pPr>
      <w:r>
        <w:rPr>
          <w:rFonts w:ascii="Times New Roman" w:hAnsi="Times New Roman" w:cs="Times New Roman" w:eastAsia="Times New Roman"/>
          <w:b/>
          <w:sz w:val="24"/>
        </w:rPr>
        <w:t>Quella affermazione riguardava gli anni Ottanta e le sanzioni economiche, e resta valida per quel perimetro.</w:t>
      </w:r>
    </w:p>
    <w:p>
      <w:pPr>
        <w:spacing w:line="276" w:lineRule="auto" w:after="0"/>
        <w:ind w:firstLine="0"/>
        <w:jc w:val="both"/>
      </w:pPr>
      <w:r>
        <w:rPr>
          <w:rFonts w:ascii="Times New Roman" w:hAnsi="Times New Roman" w:cs="Times New Roman" w:eastAsia="Times New Roman"/>
          <w:b/>
          <w:sz w:val="24"/>
        </w:rPr>
        <w:t>Ma per il 1970 e per l'accusa di violazione dell'embargo sulle armi, il quadro è diverso: le due capitali si difesero in parallelo, nella medesima settimana, contro il medesimo accusatore.</w:t>
      </w:r>
    </w:p>
    <w:p>
      <w:pPr>
        <w:spacing w:line="276" w:lineRule="auto" w:after="0"/>
        <w:ind w:firstLine="425"/>
        <w:jc w:val="both"/>
      </w:pPr>
      <w:r>
        <w:rPr>
          <w:rFonts w:ascii="Times New Roman" w:hAnsi="Times New Roman" w:cs="Times New Roman" w:eastAsia="Times New Roman"/>
          <w:b/>
          <w:sz w:val="24"/>
        </w:rPr>
        <w:t>Non è coordinamento provato — nessuna fonte lo attesta, e la contemporaneità non è prova di nesso. Ma è la prima volta in diciotto ricognizioni che Roma e Bonn compaiono nel medesimo fascicolo africano con la medesima postura, e va registrato come tale.</w:t>
      </w:r>
    </w:p>
    <w:p>
      <w:pPr>
        <w:spacing w:line="276" w:lineRule="auto" w:after="0"/>
        <w:ind w:firstLine="0"/>
        <w:jc w:val="both"/>
      </w:pPr>
      <w:r>
        <w:rPr>
          <w:rFonts w:ascii="Times New Roman" w:hAnsi="Times New Roman" w:cs="Times New Roman" w:eastAsia="Times New Roman"/>
          <w:b/>
          <w:sz w:val="24"/>
        </w:rPr>
        <w:t>Capitolo quarto — La lettera del 27 giugno 1980 e l'accusatore</w:t>
      </w:r>
    </w:p>
    <w:p>
      <w:pPr>
        <w:spacing w:line="276" w:lineRule="auto" w:after="0"/>
        <w:ind w:firstLine="425"/>
        <w:jc w:val="both"/>
      </w:pPr>
      <w:r>
        <w:rPr>
          <w:rFonts w:ascii="Times New Roman" w:hAnsi="Times New Roman" w:cs="Times New Roman" w:eastAsia="Times New Roman"/>
          <w:b w:val="0"/>
          <w:sz w:val="24"/>
        </w:rPr>
        <w:t>Il capitolo espone il secondo documento e la figura che lo provocò.</w:t>
      </w:r>
    </w:p>
    <w:p>
      <w:pPr>
        <w:spacing w:line="276" w:lineRule="auto" w:after="0"/>
        <w:ind w:firstLine="425"/>
        <w:jc w:val="both"/>
      </w:pPr>
      <w:r>
        <w:rPr>
          <w:rFonts w:ascii="Times New Roman" w:hAnsi="Times New Roman" w:cs="Times New Roman" w:eastAsia="Times New Roman"/>
          <w:b/>
          <w:sz w:val="24"/>
        </w:rPr>
        <w:t>Il documento.</w:t>
      </w:r>
      <w:r>
        <w:rPr>
          <w:rFonts w:ascii="Times New Roman" w:hAnsi="Times New Roman" w:cs="Times New Roman" w:eastAsia="Times New Roman"/>
          <w:b w:val="0"/>
          <w:sz w:val="24"/>
        </w:rPr>
        <w:t xml:space="preserve"> Record </w:t>
      </w:r>
      <w:r>
        <w:rPr>
          <w:rFonts w:ascii="Times New Roman" w:hAnsi="Times New Roman" w:cs="Times New Roman" w:eastAsia="Times New Roman"/>
          <w:b/>
          <w:sz w:val="24"/>
        </w:rPr>
        <w:t>quattordicimilanovecentoquarantatré</w:t>
      </w:r>
      <w:r>
        <w:rPr>
          <w:rFonts w:ascii="Times New Roman" w:hAnsi="Times New Roman" w:cs="Times New Roman" w:eastAsia="Times New Roman"/>
          <w:b w:val="0"/>
          <w:sz w:val="24"/>
        </w:rPr>
        <w:t xml:space="preserve">, segnatura </w:t>
      </w:r>
      <w:r>
        <w:rPr>
          <w:rFonts w:ascii="Times New Roman" w:hAnsi="Times New Roman" w:cs="Times New Roman" w:eastAsia="Times New Roman"/>
          <w:b/>
          <w:sz w:val="24"/>
        </w:rPr>
        <w:t>S/AC.20/27</w:t>
      </w:r>
      <w:r>
        <w:rPr>
          <w:rFonts w:ascii="Times New Roman" w:hAnsi="Times New Roman" w:cs="Times New Roman" w:eastAsia="Times New Roman"/>
          <w:b w:val="0"/>
          <w:sz w:val="24"/>
        </w:rPr>
        <w:t>, titolo ufficiale: *Lettera datata 27 giugno 1980 dal Rappresentante permanente d'Italia presso le Nazioni Unite indirizzata al Presidente del Comitato del Consiglio di Sicurezza istituito dalla risoluzione quattrocentoventuno del 1977 concernente la questione del Sudafrica.*</w:t>
      </w:r>
    </w:p>
    <w:p>
      <w:pPr>
        <w:spacing w:line="276" w:lineRule="auto" w:after="0"/>
        <w:ind w:firstLine="0"/>
        <w:jc w:val="both"/>
      </w:pPr>
      <w:r>
        <w:rPr>
          <w:rFonts w:ascii="Times New Roman" w:hAnsi="Times New Roman" w:cs="Times New Roman" w:eastAsia="Times New Roman"/>
          <w:b/>
          <w:sz w:val="24"/>
        </w:rPr>
        <w:t>Data di pubblicazione: 3 luglio 1980. Lunghezza: due pagine.</w:t>
      </w:r>
    </w:p>
    <w:p>
      <w:pPr>
        <w:spacing w:line="276" w:lineRule="auto" w:after="0"/>
        <w:ind w:firstLine="425"/>
        <w:jc w:val="both"/>
      </w:pPr>
      <w:r>
        <w:rPr>
          <w:rFonts w:ascii="Times New Roman" w:hAnsi="Times New Roman" w:cs="Times New Roman" w:eastAsia="Times New Roman"/>
          <w:b/>
          <w:sz w:val="24"/>
        </w:rPr>
        <w:t>E la scheda reca un titolo alternativo che ne condensa il contenuto, riportato per intero:</w:t>
      </w:r>
      <w:r>
        <w:rPr>
          <w:rFonts w:ascii="Times New Roman" w:hAnsi="Times New Roman" w:cs="Times New Roman" w:eastAsia="Times New Roman"/>
          <w:b w:val="0"/>
          <w:sz w:val="24"/>
        </w:rPr>
        <w:t xml:space="preserve"> *Italia. Lettera, 27 giugno 1980, che nega accuse di violazione dell'embargo sulle armi nella dichiarazione di Abdul Minty.*</w:t>
      </w:r>
    </w:p>
    <w:p>
      <w:pPr>
        <w:spacing w:line="276" w:lineRule="auto" w:after="0"/>
        <w:ind w:firstLine="425"/>
        <w:jc w:val="both"/>
      </w:pPr>
      <w:r>
        <w:rPr>
          <w:rFonts w:ascii="Times New Roman" w:hAnsi="Times New Roman" w:cs="Times New Roman" w:eastAsia="Times New Roman"/>
          <w:b/>
          <w:sz w:val="24"/>
        </w:rPr>
        <w:t>L'estensore, con la medesima qualificazione del Capitolo secondo.</w:t>
      </w:r>
      <w:r>
        <w:rPr>
          <w:rFonts w:ascii="Times New Roman" w:hAnsi="Times New Roman" w:cs="Times New Roman" w:eastAsia="Times New Roman"/>
          <w:b w:val="0"/>
          <w:sz w:val="24"/>
        </w:rPr>
        <w:t xml:space="preserve"> Il Rappresentante permanente nel giugno 1980 era </w:t>
      </w:r>
      <w:r>
        <w:rPr>
          <w:rFonts w:ascii="Times New Roman" w:hAnsi="Times New Roman" w:cs="Times New Roman" w:eastAsia="Times New Roman"/>
          <w:b/>
          <w:sz w:val="24"/>
        </w:rPr>
        <w:t>Umberto La Rocca</w:t>
      </w:r>
      <w:r>
        <w:rPr>
          <w:rFonts w:ascii="Times New Roman" w:hAnsi="Times New Roman" w:cs="Times New Roman" w:eastAsia="Times New Roman"/>
          <w:b w:val="0"/>
          <w:sz w:val="24"/>
        </w:rPr>
        <w:t xml:space="preserve">, decimo titolare, </w:t>
      </w:r>
      <w:r>
        <w:rPr>
          <w:rFonts w:ascii="Times New Roman" w:hAnsi="Times New Roman" w:cs="Times New Roman" w:eastAsia="Times New Roman"/>
          <w:b/>
          <w:sz w:val="24"/>
        </w:rPr>
        <w:t>in carica dal 1979 al 1984</w:t>
      </w:r>
      <w:r>
        <w:rPr>
          <w:rFonts w:ascii="Times New Roman" w:hAnsi="Times New Roman" w:cs="Times New Roman" w:eastAsia="Times New Roman"/>
          <w:b w:val="0"/>
          <w:sz w:val="24"/>
        </w:rPr>
        <w:t xml:space="preserve">, fra i mandati di Piero Vinci e di Maurizio Bucci. </w:t>
      </w:r>
      <w:r>
        <w:rPr>
          <w:rFonts w:ascii="Times New Roman" w:hAnsi="Times New Roman" w:cs="Times New Roman" w:eastAsia="Times New Roman"/>
          <w:b/>
          <w:sz w:val="24"/>
        </w:rPr>
        <w:t>Attribuzione dalle date della carica, non dalla firma.</w:t>
      </w:r>
    </w:p>
    <w:p>
      <w:pPr>
        <w:spacing w:line="276" w:lineRule="auto" w:after="0"/>
        <w:ind w:firstLine="0"/>
        <w:jc w:val="both"/>
      </w:pPr>
      <w:r>
        <w:rPr>
          <w:rFonts w:ascii="Times New Roman" w:hAnsi="Times New Roman" w:cs="Times New Roman" w:eastAsia="Times New Roman"/>
          <w:b/>
          <w:sz w:val="24"/>
        </w:rPr>
        <w:t>Anche qui il testo del corpo non è stato recuperato.</w:t>
      </w:r>
    </w:p>
    <w:p>
      <w:pPr>
        <w:spacing w:line="276" w:lineRule="auto" w:after="0"/>
        <w:ind w:firstLine="0"/>
        <w:jc w:val="both"/>
      </w:pPr>
      <w:r>
        <w:rPr>
          <w:rFonts w:ascii="Times New Roman" w:hAnsi="Times New Roman" w:cs="Times New Roman" w:eastAsia="Times New Roman"/>
          <w:b/>
          <w:sz w:val="24"/>
        </w:rPr>
        <w:t>L'accusatore, e la ricerca ne ha ricostruito il profilo perché esso qualifica il peso dell'accusa.</w:t>
      </w:r>
    </w:p>
    <w:p>
      <w:pPr>
        <w:spacing w:line="276" w:lineRule="auto" w:after="0"/>
        <w:ind w:firstLine="425"/>
        <w:jc w:val="both"/>
      </w:pPr>
      <w:r>
        <w:rPr>
          <w:rFonts w:ascii="Times New Roman" w:hAnsi="Times New Roman" w:cs="Times New Roman" w:eastAsia="Times New Roman"/>
          <w:b/>
          <w:sz w:val="24"/>
        </w:rPr>
        <w:t>Abdul Samad Minty</w:t>
      </w:r>
      <w:r>
        <w:rPr>
          <w:rFonts w:ascii="Times New Roman" w:hAnsi="Times New Roman" w:cs="Times New Roman" w:eastAsia="Times New Roman"/>
          <w:b w:val="0"/>
          <w:sz w:val="24"/>
        </w:rPr>
        <w:t>, segretario onorario dell'</w:t>
      </w:r>
      <w:r>
        <w:rPr>
          <w:rFonts w:ascii="Times New Roman" w:hAnsi="Times New Roman" w:cs="Times New Roman" w:eastAsia="Times New Roman"/>
          <w:b/>
          <w:sz w:val="24"/>
        </w:rPr>
        <w:t>Anti-Apartheid Movement</w:t>
      </w:r>
      <w:r>
        <w:rPr>
          <w:rFonts w:ascii="Times New Roman" w:hAnsi="Times New Roman" w:cs="Times New Roman" w:eastAsia="Times New Roman"/>
          <w:b w:val="0"/>
          <w:sz w:val="24"/>
        </w:rPr>
        <w:t xml:space="preserve"> britannico, </w:t>
      </w:r>
      <w:r>
        <w:rPr>
          <w:rFonts w:ascii="Times New Roman" w:hAnsi="Times New Roman" w:cs="Times New Roman" w:eastAsia="Times New Roman"/>
          <w:b/>
          <w:sz w:val="24"/>
        </w:rPr>
        <w:t>rese testimonianza come esperto individuale dinanzi al Comitato del Consiglio di Sicurezza per l'embargo sulle armi in quattro occasioni fra il 1977 e il 1994.</w:t>
      </w:r>
    </w:p>
    <w:p>
      <w:pPr>
        <w:spacing w:line="276" w:lineRule="auto" w:after="0"/>
        <w:ind w:firstLine="425"/>
        <w:jc w:val="both"/>
      </w:pPr>
      <w:r>
        <w:rPr>
          <w:rFonts w:ascii="Times New Roman" w:hAnsi="Times New Roman" w:cs="Times New Roman" w:eastAsia="Times New Roman"/>
          <w:b/>
          <w:sz w:val="24"/>
        </w:rPr>
        <w:t>L'organizzazione da lui diretta — il World Campaign against Military and Nuclear Collaboration with South Africa — fu la fonte primaria di informazione delle Nazioni Unite sulle violazioni degli embarghi sulle armi contro il regime dell'apartheid.</w:t>
      </w:r>
    </w:p>
    <w:p>
      <w:pPr>
        <w:spacing w:line="276" w:lineRule="auto" w:after="0"/>
        <w:ind w:firstLine="0"/>
        <w:jc w:val="both"/>
      </w:pPr>
      <w:r>
        <w:rPr>
          <w:rFonts w:ascii="Times New Roman" w:hAnsi="Times New Roman" w:cs="Times New Roman" w:eastAsia="Times New Roman"/>
          <w:b/>
          <w:sz w:val="24"/>
        </w:rPr>
        <w:t>Il Campaign fu lanciato a Oslo il 28 marzo 1979**, sotto il patronato dell'ex Presidente tanzaniano **Julius Nyerere** e degli altri capi di Stato della prima linea, con sponsor quali **Olof Palme, David Steel e Coretta Scott King.</w:t>
      </w:r>
    </w:p>
    <w:p>
      <w:pPr>
        <w:spacing w:line="276" w:lineRule="auto" w:after="0"/>
        <w:ind w:firstLine="0"/>
        <w:jc w:val="both"/>
      </w:pPr>
      <w:r>
        <w:rPr>
          <w:rFonts w:ascii="Times New Roman" w:hAnsi="Times New Roman" w:cs="Times New Roman" w:eastAsia="Times New Roman"/>
          <w:b/>
          <w:sz w:val="24"/>
        </w:rPr>
        <w:t>Ne discende che l'accusa cui l'Italia rispose non proveniva da una fonte marginale ma dall'organismo che le Nazioni Unite stesse riconoscevano come principale fornitore di informazioni sulle violazioni.</w:t>
      </w:r>
    </w:p>
    <w:p>
      <w:pPr>
        <w:spacing w:line="276" w:lineRule="auto" w:after="0"/>
        <w:ind w:firstLine="0"/>
        <w:jc w:val="both"/>
      </w:pPr>
      <w:r>
        <w:rPr>
          <w:rFonts w:ascii="Times New Roman" w:hAnsi="Times New Roman" w:cs="Times New Roman" w:eastAsia="Times New Roman"/>
          <w:b/>
          <w:sz w:val="24"/>
        </w:rPr>
        <w:t>Il che rende la mancata acquisizione del testo, esposta al capitolo seguente, tanto più gravosa.</w:t>
      </w:r>
    </w:p>
    <w:p>
      <w:pPr>
        <w:spacing w:line="276" w:lineRule="auto" w:after="0"/>
        <w:ind w:firstLine="0"/>
        <w:jc w:val="both"/>
      </w:pPr>
      <w:r>
        <w:rPr>
          <w:rFonts w:ascii="Times New Roman" w:hAnsi="Times New Roman" w:cs="Times New Roman" w:eastAsia="Times New Roman"/>
          <w:b/>
          <w:sz w:val="24"/>
        </w:rPr>
        <w:t>Capitolo quinto — La dichiarazione non reperita</w:t>
      </w:r>
    </w:p>
    <w:p>
      <w:pPr>
        <w:spacing w:line="276" w:lineRule="auto" w:after="0"/>
        <w:ind w:firstLine="425"/>
        <w:jc w:val="both"/>
      </w:pPr>
      <w:r>
        <w:rPr>
          <w:rFonts w:ascii="Times New Roman" w:hAnsi="Times New Roman" w:cs="Times New Roman" w:eastAsia="Times New Roman"/>
          <w:b w:val="0"/>
          <w:sz w:val="24"/>
        </w:rPr>
        <w:t xml:space="preserve">Il capitolo è il più breve del documento e ne dichiara la ragione: </w:t>
      </w:r>
      <w:r>
        <w:rPr>
          <w:rFonts w:ascii="Times New Roman" w:hAnsi="Times New Roman" w:cs="Times New Roman" w:eastAsia="Times New Roman"/>
          <w:b/>
          <w:sz w:val="24"/>
        </w:rPr>
        <w:t>è un esito negativo, e un esito negativo non si dilata.</w:t>
      </w:r>
    </w:p>
    <w:p>
      <w:pPr>
        <w:spacing w:line="276" w:lineRule="auto" w:after="0"/>
        <w:ind w:firstLine="425"/>
        <w:jc w:val="both"/>
      </w:pPr>
      <w:r>
        <w:rPr>
          <w:rFonts w:ascii="Times New Roman" w:hAnsi="Times New Roman" w:cs="Times New Roman" w:eastAsia="Times New Roman"/>
          <w:b/>
          <w:sz w:val="24"/>
        </w:rPr>
        <w:t>Che cosa si cercava.</w:t>
      </w:r>
      <w:r>
        <w:rPr>
          <w:rFonts w:ascii="Times New Roman" w:hAnsi="Times New Roman" w:cs="Times New Roman" w:eastAsia="Times New Roman"/>
          <w:b w:val="0"/>
          <w:sz w:val="24"/>
        </w:rPr>
        <w:t xml:space="preserve"> Il verbale sommario </w:t>
      </w:r>
      <w:r>
        <w:rPr>
          <w:rFonts w:ascii="Times New Roman" w:hAnsi="Times New Roman" w:cs="Times New Roman" w:eastAsia="Times New Roman"/>
          <w:b/>
          <w:sz w:val="24"/>
        </w:rPr>
        <w:t>S/AC.20/SR.25</w:t>
      </w:r>
      <w:r>
        <w:rPr>
          <w:rFonts w:ascii="Times New Roman" w:hAnsi="Times New Roman" w:cs="Times New Roman" w:eastAsia="Times New Roman"/>
          <w:b w:val="0"/>
          <w:sz w:val="24"/>
        </w:rPr>
        <w:t xml:space="preserve">, contenente la dichiarazione di Abdul Minty dinanzi al Comitato istituito dalla risoluzione quattrocentoventuno — </w:t>
      </w:r>
      <w:r>
        <w:rPr>
          <w:rFonts w:ascii="Times New Roman" w:hAnsi="Times New Roman" w:cs="Times New Roman" w:eastAsia="Times New Roman"/>
          <w:b/>
          <w:sz w:val="24"/>
        </w:rPr>
        <w:t>cioè le accuse cui la lettera italiana del 27 giugno 1980 rispondeva.</w:t>
      </w:r>
    </w:p>
    <w:p>
      <w:pPr>
        <w:spacing w:line="276" w:lineRule="auto" w:after="0"/>
        <w:ind w:firstLine="0"/>
        <w:jc w:val="both"/>
      </w:pPr>
      <w:r>
        <w:rPr>
          <w:rFonts w:ascii="Times New Roman" w:hAnsi="Times New Roman" w:cs="Times New Roman" w:eastAsia="Times New Roman"/>
          <w:b/>
          <w:sz w:val="24"/>
        </w:rPr>
        <w:t>Che cosa si è trovato.** **Nulla: né testo né scheda utile.</w:t>
      </w:r>
    </w:p>
    <w:p>
      <w:pPr>
        <w:spacing w:line="276" w:lineRule="auto" w:after="0"/>
        <w:ind w:firstLine="0"/>
        <w:jc w:val="both"/>
      </w:pPr>
      <w:r>
        <w:rPr>
          <w:rFonts w:ascii="Times New Roman" w:hAnsi="Times New Roman" w:cs="Times New Roman" w:eastAsia="Times New Roman"/>
          <w:b/>
          <w:sz w:val="24"/>
        </w:rPr>
        <w:t>La ragione, accertata.** Il documento **appartiene alla serie dei verbali di riunioni chiuse del Comitato, a distribuzione ristretta, e non compare nelle risorse accessibili.</w:t>
      </w:r>
    </w:p>
    <w:p>
      <w:pPr>
        <w:spacing w:line="276" w:lineRule="auto" w:after="0"/>
        <w:ind w:firstLine="0"/>
        <w:jc w:val="both"/>
      </w:pPr>
      <w:r>
        <w:rPr>
          <w:rFonts w:ascii="Times New Roman" w:hAnsi="Times New Roman" w:cs="Times New Roman" w:eastAsia="Times New Roman"/>
          <w:b/>
          <w:sz w:val="24"/>
        </w:rPr>
        <w:t>Ne discende che non si è potuto accertare che cosa esattamente Minty avesse affermato riguardo all'Italia, né su quali elementi.</w:t>
      </w:r>
    </w:p>
    <w:p>
      <w:pPr>
        <w:spacing w:line="276" w:lineRule="auto" w:after="0"/>
        <w:ind w:firstLine="425"/>
        <w:jc w:val="both"/>
      </w:pPr>
      <w:r>
        <w:rPr>
          <w:rFonts w:ascii="Times New Roman" w:hAnsi="Times New Roman" w:cs="Times New Roman" w:eastAsia="Times New Roman"/>
          <w:b/>
          <w:sz w:val="24"/>
        </w:rPr>
        <w:t>La ricostruzione contestuale va offerta e immediatamente qualificata.</w:t>
      </w:r>
      <w:r>
        <w:rPr>
          <w:rFonts w:ascii="Times New Roman" w:hAnsi="Times New Roman" w:cs="Times New Roman" w:eastAsia="Times New Roman"/>
          <w:b w:val="0"/>
          <w:sz w:val="24"/>
        </w:rPr>
        <w:t xml:space="preserve"> L'accusa verteva </w:t>
      </w:r>
      <w:r>
        <w:rPr>
          <w:rFonts w:ascii="Times New Roman" w:hAnsi="Times New Roman" w:cs="Times New Roman" w:eastAsia="Times New Roman"/>
          <w:b/>
          <w:sz w:val="24"/>
        </w:rPr>
        <w:t>verosimilmente</w:t>
      </w:r>
      <w:r>
        <w:rPr>
          <w:rFonts w:ascii="Times New Roman" w:hAnsi="Times New Roman" w:cs="Times New Roman" w:eastAsia="Times New Roman"/>
          <w:b w:val="0"/>
          <w:sz w:val="24"/>
        </w:rPr>
        <w:t xml:space="preserve"> sulla licenza Aermacchi MB-326 e sulle relative forniture, e in particolare — secondo quanto la quindicesima ricognizione ha accertato per altra via — su una </w:t>
      </w:r>
      <w:r>
        <w:rPr>
          <w:rFonts w:ascii="Times New Roman" w:hAnsi="Times New Roman" w:cs="Times New Roman" w:eastAsia="Times New Roman"/>
          <w:b/>
          <w:sz w:val="24"/>
        </w:rPr>
        <w:t>fornitura di velivoli alla South African Air Force nel gennaio 1980</w:t>
      </w:r>
      <w:r>
        <w:rPr>
          <w:rFonts w:ascii="Times New Roman" w:hAnsi="Times New Roman" w:cs="Times New Roman" w:eastAsia="Times New Roman"/>
          <w:b w:val="0"/>
          <w:sz w:val="24"/>
        </w:rPr>
        <w:t xml:space="preserve">, denunciata dall'operaio </w:t>
      </w:r>
      <w:r>
        <w:rPr>
          <w:rFonts w:ascii="Times New Roman" w:hAnsi="Times New Roman" w:cs="Times New Roman" w:eastAsia="Times New Roman"/>
          <w:b/>
          <w:sz w:val="24"/>
        </w:rPr>
        <w:t>Elio Pagani.</w:t>
      </w:r>
    </w:p>
    <w:p>
      <w:pPr>
        <w:spacing w:line="276" w:lineRule="auto" w:after="0"/>
        <w:ind w:firstLine="0"/>
        <w:jc w:val="both"/>
      </w:pPr>
      <w:r>
        <w:rPr>
          <w:rFonts w:ascii="Times New Roman" w:hAnsi="Times New Roman" w:cs="Times New Roman" w:eastAsia="Times New Roman"/>
          <w:b/>
          <w:sz w:val="24"/>
        </w:rPr>
        <w:t>Ma questa è ricostruzione contestuale e non lettura del documento, e la distinzione va mantenuta con rigore: si sa che cosa l'Italia negò, non che cosa le fu contestato.</w:t>
      </w:r>
    </w:p>
    <w:p>
      <w:pPr>
        <w:spacing w:line="276" w:lineRule="auto" w:after="0"/>
        <w:ind w:firstLine="0"/>
        <w:jc w:val="both"/>
      </w:pPr>
      <w:r>
        <w:rPr>
          <w:rFonts w:ascii="Times New Roman" w:hAnsi="Times New Roman" w:cs="Times New Roman" w:eastAsia="Times New Roman"/>
          <w:b/>
          <w:sz w:val="24"/>
        </w:rPr>
        <w:t>La sede.** L'archivio degli atti del Comitato istituito dalla risoluzione quattrocentoventuno e la collezione dei verbali della serie S/AC.20/SR presso la **Dag Hammarskjöld Library.</w:t>
      </w:r>
    </w:p>
    <w:p>
      <w:pPr>
        <w:spacing w:line="276" w:lineRule="auto" w:after="0"/>
        <w:ind w:firstLine="0"/>
        <w:jc w:val="both"/>
      </w:pPr>
      <w:r>
        <w:rPr>
          <w:rFonts w:ascii="Times New Roman" w:hAnsi="Times New Roman" w:cs="Times New Roman" w:eastAsia="Times New Roman"/>
          <w:b/>
          <w:sz w:val="24"/>
        </w:rPr>
        <w:t>La condizione di chiusura.** **Accesso ai documenti a distribuzione ristretta.</w:t>
      </w:r>
    </w:p>
    <w:p>
      <w:pPr>
        <w:spacing w:line="276" w:lineRule="auto" w:after="0"/>
        <w:ind w:firstLine="0"/>
        <w:jc w:val="both"/>
      </w:pPr>
      <w:r>
        <w:rPr>
          <w:rFonts w:ascii="Times New Roman" w:hAnsi="Times New Roman" w:cs="Times New Roman" w:eastAsia="Times New Roman"/>
          <w:b/>
          <w:sz w:val="24"/>
        </w:rPr>
        <w:t>Ne discende una asimmetria che vale la pena enunciare, perché è la stessa che il corpus ha già incontrato altrove.</w:t>
      </w:r>
    </w:p>
    <w:p>
      <w:pPr>
        <w:spacing w:line="276" w:lineRule="auto" w:after="0"/>
        <w:ind w:firstLine="0"/>
        <w:jc w:val="both"/>
      </w:pPr>
      <w:r>
        <w:rPr>
          <w:rFonts w:ascii="Times New Roman" w:hAnsi="Times New Roman" w:cs="Times New Roman" w:eastAsia="Times New Roman"/>
          <w:b/>
          <w:sz w:val="24"/>
        </w:rPr>
        <w:t>Della vicenda del 1980 conosciamo la difesa e ignoriamo l'accusa.</w:t>
      </w:r>
    </w:p>
    <w:p>
      <w:pPr>
        <w:spacing w:line="276" w:lineRule="auto" w:after="0"/>
        <w:ind w:firstLine="0"/>
        <w:jc w:val="both"/>
      </w:pPr>
      <w:r>
        <w:rPr>
          <w:rFonts w:ascii="Times New Roman" w:hAnsi="Times New Roman" w:cs="Times New Roman" w:eastAsia="Times New Roman"/>
          <w:b/>
          <w:sz w:val="24"/>
        </w:rPr>
        <w:t>È l'inverso della situazione ordinaria negli archivi di Stato, dove sopravvivono gli atti d'accusa e si perdono le repliche. Qui il documento italiano è catalogato e pubblico; il documento che lo provocò è chiuso.</w:t>
      </w:r>
    </w:p>
    <w:p>
      <w:pPr>
        <w:spacing w:line="276" w:lineRule="auto" w:after="0"/>
        <w:ind w:firstLine="0"/>
        <w:jc w:val="both"/>
      </w:pPr>
      <w:r>
        <w:rPr>
          <w:rFonts w:ascii="Times New Roman" w:hAnsi="Times New Roman" w:cs="Times New Roman" w:eastAsia="Times New Roman"/>
          <w:b/>
          <w:sz w:val="24"/>
        </w:rPr>
        <w:t>Capitolo sesto — I voti sulla Namibia: il dato primario</w:t>
      </w:r>
    </w:p>
    <w:p>
      <w:pPr>
        <w:spacing w:line="276" w:lineRule="auto" w:after="0"/>
        <w:ind w:firstLine="425"/>
        <w:jc w:val="both"/>
      </w:pPr>
      <w:r>
        <w:rPr>
          <w:rFonts w:ascii="Times New Roman" w:hAnsi="Times New Roman" w:cs="Times New Roman" w:eastAsia="Times New Roman"/>
          <w:b w:val="0"/>
          <w:sz w:val="24"/>
        </w:rPr>
        <w:t>Il capitolo espone la seconda voce della tavola, che è stata eseguita con pieno successo.</w:t>
      </w:r>
    </w:p>
    <w:p>
      <w:pPr>
        <w:spacing w:line="276" w:lineRule="auto" w:after="0"/>
        <w:ind w:firstLine="425"/>
        <w:jc w:val="both"/>
      </w:pPr>
      <w:r>
        <w:rPr>
          <w:rFonts w:ascii="Times New Roman" w:hAnsi="Times New Roman" w:cs="Times New Roman" w:eastAsia="Times New Roman"/>
          <w:b/>
          <w:sz w:val="24"/>
        </w:rPr>
        <w:t>Il voto centrale, e va esposto per primo perché è il più carico politicamente.</w:t>
      </w:r>
      <w:r>
        <w:rPr>
          <w:rFonts w:ascii="Times New Roman" w:hAnsi="Times New Roman" w:cs="Times New Roman" w:eastAsia="Times New Roman"/>
          <w:b w:val="0"/>
          <w:sz w:val="24"/>
        </w:rPr>
        <w:t xml:space="preserve"> La </w:t>
      </w:r>
      <w:r>
        <w:rPr>
          <w:rFonts w:ascii="Times New Roman" w:hAnsi="Times New Roman" w:cs="Times New Roman" w:eastAsia="Times New Roman"/>
          <w:b/>
          <w:sz w:val="24"/>
        </w:rPr>
        <w:t>risoluzione trentuno barra centoquarantasei del 20 dicembre 1976</w:t>
      </w:r>
      <w:r>
        <w:rPr>
          <w:rFonts w:ascii="Times New Roman" w:hAnsi="Times New Roman" w:cs="Times New Roman" w:eastAsia="Times New Roman"/>
          <w:b w:val="0"/>
          <w:sz w:val="24"/>
        </w:rPr>
        <w:t xml:space="preserve">, sulla situazione in Namibia risultante dall'occupazione illegale del Territorio da parte del Sudafrica, adottata nella centocinquesima seduta plenaria con </w:t>
      </w:r>
      <w:r>
        <w:rPr>
          <w:rFonts w:ascii="Times New Roman" w:hAnsi="Times New Roman" w:cs="Times New Roman" w:eastAsia="Times New Roman"/>
          <w:b/>
          <w:sz w:val="24"/>
        </w:rPr>
        <w:t>centosette favorevoli, sei contrari e dodici astenuti</w:t>
      </w:r>
      <w:r>
        <w:rPr>
          <w:rFonts w:ascii="Times New Roman" w:hAnsi="Times New Roman" w:cs="Times New Roman" w:eastAsia="Times New Roman"/>
          <w:b w:val="0"/>
          <w:sz w:val="24"/>
        </w:rPr>
        <w:t xml:space="preserve">, riconosceva la </w:t>
      </w:r>
      <w:r>
        <w:rPr>
          <w:rFonts w:ascii="Times New Roman" w:hAnsi="Times New Roman" w:cs="Times New Roman" w:eastAsia="Times New Roman"/>
          <w:b/>
          <w:sz w:val="24"/>
        </w:rPr>
        <w:t>SWAPO come unico e autentico rappresentante</w:t>
      </w:r>
      <w:r>
        <w:rPr>
          <w:rFonts w:ascii="Times New Roman" w:hAnsi="Times New Roman" w:cs="Times New Roman" w:eastAsia="Times New Roman"/>
          <w:b w:val="0"/>
          <w:sz w:val="24"/>
        </w:rPr>
        <w:t xml:space="preserve"> del popolo namibiano.</w:t>
      </w:r>
    </w:p>
    <w:p>
      <w:pPr>
        <w:spacing w:line="276" w:lineRule="auto" w:after="0"/>
        <w:ind w:firstLine="0"/>
        <w:jc w:val="both"/>
      </w:pPr>
      <w:r>
        <w:rPr>
          <w:rFonts w:ascii="Times New Roman" w:hAnsi="Times New Roman" w:cs="Times New Roman" w:eastAsia="Times New Roman"/>
          <w:b/>
          <w:sz w:val="24"/>
        </w:rPr>
        <w:t>L'Italia si ASTENNE.** La marca **A ITALY** è leggibile direttamente nel record di voto **seicentoquarantanovemilasettecentosessantadue.</w:t>
      </w:r>
    </w:p>
    <w:p>
      <w:pPr>
        <w:spacing w:line="276" w:lineRule="auto" w:after="0"/>
        <w:ind w:firstLine="425"/>
        <w:jc w:val="both"/>
      </w:pPr>
      <w:r>
        <w:rPr>
          <w:rFonts w:ascii="Times New Roman" w:hAnsi="Times New Roman" w:cs="Times New Roman" w:eastAsia="Times New Roman"/>
          <w:b/>
          <w:sz w:val="24"/>
        </w:rPr>
        <w:t>E votarono CONTRO Belgio, Francia, Germania Federale, Lussemburgo, Regno Unito e Stati Uniti</w:t>
      </w:r>
      <w:r>
        <w:rPr>
          <w:rFonts w:ascii="Times New Roman" w:hAnsi="Times New Roman" w:cs="Times New Roman" w:eastAsia="Times New Roman"/>
          <w:b w:val="0"/>
          <w:sz w:val="24"/>
        </w:rPr>
        <w:t>, con le marche verificate nel medesimo record.</w:t>
      </w:r>
    </w:p>
    <w:p>
      <w:pPr>
        <w:spacing w:line="276" w:lineRule="auto" w:after="0"/>
        <w:ind w:firstLine="0"/>
        <w:jc w:val="both"/>
      </w:pPr>
      <w:r>
        <w:rPr>
          <w:rFonts w:ascii="Times New Roman" w:hAnsi="Times New Roman" w:cs="Times New Roman" w:eastAsia="Times New Roman"/>
          <w:b/>
          <w:sz w:val="24"/>
        </w:rPr>
        <w:t>Gli altri voti della medesima tornata namibiana, e sono tre.</w:t>
      </w:r>
    </w:p>
    <w:p>
      <w:pPr>
        <w:spacing w:line="276" w:lineRule="auto" w:after="0"/>
        <w:ind w:firstLine="0"/>
        <w:jc w:val="both"/>
      </w:pPr>
      <w:r>
        <w:rPr>
          <w:rFonts w:ascii="Times New Roman" w:hAnsi="Times New Roman" w:cs="Times New Roman" w:eastAsia="Times New Roman"/>
          <w:b/>
          <w:sz w:val="24"/>
        </w:rPr>
        <w:t>Risoluzione trentuno barra centoquarantotto**, centodiciotto favorevoli, nessun contrario, sette astenuti: **l'Italia votò A FAVORE, la Germania Federale si astenne.</w:t>
      </w:r>
    </w:p>
    <w:p>
      <w:pPr>
        <w:spacing w:line="276" w:lineRule="auto" w:after="0"/>
        <w:ind w:firstLine="0"/>
        <w:jc w:val="both"/>
      </w:pPr>
      <w:r>
        <w:rPr>
          <w:rFonts w:ascii="Times New Roman" w:hAnsi="Times New Roman" w:cs="Times New Roman" w:eastAsia="Times New Roman"/>
          <w:b/>
          <w:sz w:val="24"/>
        </w:rPr>
        <w:t>Risoluzione trentuno barra centoquarantanove**, centoventi favorevoli, nessun contrario, sette astenuti: **l'Italia A FAVORE, la Germania Federale astenuta.</w:t>
      </w:r>
    </w:p>
    <w:p>
      <w:pPr>
        <w:spacing w:line="276" w:lineRule="auto" w:after="0"/>
        <w:ind w:firstLine="425"/>
        <w:jc w:val="both"/>
      </w:pPr>
      <w:r>
        <w:rPr>
          <w:rFonts w:ascii="Times New Roman" w:hAnsi="Times New Roman" w:cs="Times New Roman" w:eastAsia="Times New Roman"/>
          <w:b/>
          <w:sz w:val="24"/>
        </w:rPr>
        <w:t>Risoluzione trentadue barra nove G del 4 novembre 1977</w:t>
      </w:r>
      <w:r>
        <w:rPr>
          <w:rFonts w:ascii="Times New Roman" w:hAnsi="Times New Roman" w:cs="Times New Roman" w:eastAsia="Times New Roman"/>
          <w:b w:val="0"/>
          <w:sz w:val="24"/>
        </w:rPr>
        <w:t xml:space="preserve">, sull'intensificazione dell'azione delle Nazioni Unite a sostegno della Namibia, centotrenta favorevoli, nessun contrario, undici astenuti: </w:t>
      </w:r>
      <w:r>
        <w:rPr>
          <w:rFonts w:ascii="Times New Roman" w:hAnsi="Times New Roman" w:cs="Times New Roman" w:eastAsia="Times New Roman"/>
          <w:b/>
          <w:sz w:val="24"/>
        </w:rPr>
        <w:t>l'Italia A FAVORE, la Germania Federale astenuta.</w:t>
      </w:r>
    </w:p>
    <w:p>
      <w:pPr>
        <w:spacing w:line="276" w:lineRule="auto" w:after="0"/>
        <w:ind w:firstLine="425"/>
        <w:jc w:val="both"/>
      </w:pPr>
      <w:r>
        <w:rPr>
          <w:rFonts w:ascii="Times New Roman" w:hAnsi="Times New Roman" w:cs="Times New Roman" w:eastAsia="Times New Roman"/>
          <w:b/>
          <w:sz w:val="24"/>
        </w:rPr>
        <w:t>La fase successiva, e il quadro muta.</w:t>
      </w:r>
      <w:r>
        <w:rPr>
          <w:rFonts w:ascii="Times New Roman" w:hAnsi="Times New Roman" w:cs="Times New Roman" w:eastAsia="Times New Roman"/>
          <w:b w:val="0"/>
          <w:sz w:val="24"/>
        </w:rPr>
        <w:t xml:space="preserve"> Sulle risoluzioni </w:t>
      </w:r>
      <w:r>
        <w:rPr>
          <w:rFonts w:ascii="Times New Roman" w:hAnsi="Times New Roman" w:cs="Times New Roman" w:eastAsia="Times New Roman"/>
          <w:b/>
          <w:sz w:val="24"/>
        </w:rPr>
        <w:t>trentanove barra cinquanta D del 12 dicembre 1984</w:t>
      </w:r>
      <w:r>
        <w:rPr>
          <w:rFonts w:ascii="Times New Roman" w:hAnsi="Times New Roman" w:cs="Times New Roman" w:eastAsia="Times New Roman"/>
          <w:b w:val="0"/>
          <w:sz w:val="24"/>
        </w:rPr>
        <w:t xml:space="preserve"> — centotrenta favorevoli, nessun contrario, ventiquattro astenuti — </w:t>
      </w:r>
      <w:r>
        <w:rPr>
          <w:rFonts w:ascii="Times New Roman" w:hAnsi="Times New Roman" w:cs="Times New Roman" w:eastAsia="Times New Roman"/>
          <w:b/>
          <w:sz w:val="24"/>
        </w:rPr>
        <w:t>quarantuno barra trentanove B del 20 novembre 1986</w:t>
      </w:r>
      <w:r>
        <w:rPr>
          <w:rFonts w:ascii="Times New Roman" w:hAnsi="Times New Roman" w:cs="Times New Roman" w:eastAsia="Times New Roman"/>
          <w:b w:val="0"/>
          <w:sz w:val="24"/>
        </w:rPr>
        <w:t xml:space="preserve"> — centotrentatré, nessuno, venticinque — e </w:t>
      </w:r>
      <w:r>
        <w:rPr>
          <w:rFonts w:ascii="Times New Roman" w:hAnsi="Times New Roman" w:cs="Times New Roman" w:eastAsia="Times New Roman"/>
          <w:b/>
          <w:sz w:val="24"/>
        </w:rPr>
        <w:t>quarantadue barra quattordici B del 6 novembre 1987</w:t>
      </w:r>
      <w:r>
        <w:rPr>
          <w:rFonts w:ascii="Times New Roman" w:hAnsi="Times New Roman" w:cs="Times New Roman" w:eastAsia="Times New Roman"/>
          <w:b w:val="0"/>
          <w:sz w:val="24"/>
        </w:rPr>
        <w:t xml:space="preserve"> — centotrenta, nessuno, ventiquattro — </w:t>
      </w:r>
      <w:r>
        <w:rPr>
          <w:rFonts w:ascii="Times New Roman" w:hAnsi="Times New Roman" w:cs="Times New Roman" w:eastAsia="Times New Roman"/>
          <w:b/>
          <w:sz w:val="24"/>
        </w:rPr>
        <w:t>l'Italia si ASTENNE ogni volta</w:t>
      </w:r>
      <w:r>
        <w:rPr>
          <w:rFonts w:ascii="Times New Roman" w:hAnsi="Times New Roman" w:cs="Times New Roman" w:eastAsia="Times New Roman"/>
          <w:b w:val="0"/>
          <w:sz w:val="24"/>
        </w:rPr>
        <w:t>, collocandosi nel medesimo blocco di Australia, Austria, Belgio, Canada, Danimarca, Finlandia, Francia, Islanda, Irlanda, Giappone, Lussemburgo, Paesi Bassi, Nuova Zelanda e Norvegia.</w:t>
      </w:r>
    </w:p>
    <w:p>
      <w:pPr>
        <w:spacing w:line="276" w:lineRule="auto" w:after="0"/>
        <w:ind w:firstLine="425"/>
        <w:jc w:val="both"/>
      </w:pPr>
      <w:r>
        <w:rPr>
          <w:rFonts w:ascii="Times New Roman" w:hAnsi="Times New Roman" w:cs="Times New Roman" w:eastAsia="Times New Roman"/>
          <w:b/>
          <w:sz w:val="24"/>
        </w:rPr>
        <w:t>Un dato anteriore, per contesto.</w:t>
      </w:r>
      <w:r>
        <w:rPr>
          <w:rFonts w:ascii="Times New Roman" w:hAnsi="Times New Roman" w:cs="Times New Roman" w:eastAsia="Times New Roman"/>
          <w:b w:val="0"/>
          <w:sz w:val="24"/>
        </w:rPr>
        <w:t xml:space="preserve"> Sulla </w:t>
      </w:r>
      <w:r>
        <w:rPr>
          <w:rFonts w:ascii="Times New Roman" w:hAnsi="Times New Roman" w:cs="Times New Roman" w:eastAsia="Times New Roman"/>
          <w:b/>
          <w:sz w:val="24"/>
        </w:rPr>
        <w:t>risoluzione trentuno barra undici della ventottesima sessione, del 12 dicembre 1973</w:t>
      </w:r>
      <w:r>
        <w:rPr>
          <w:rFonts w:ascii="Times New Roman" w:hAnsi="Times New Roman" w:cs="Times New Roman" w:eastAsia="Times New Roman"/>
          <w:b w:val="0"/>
          <w:sz w:val="24"/>
        </w:rPr>
        <w:t xml:space="preserve">, sulla Namibia, centosette favorevoli, diciassette contrari, due astenuti, </w:t>
      </w:r>
      <w:r>
        <w:rPr>
          <w:rFonts w:ascii="Times New Roman" w:hAnsi="Times New Roman" w:cs="Times New Roman" w:eastAsia="Times New Roman"/>
          <w:b/>
          <w:sz w:val="24"/>
        </w:rPr>
        <w:t>l'Italia si astenne</w:t>
      </w:r>
      <w:r>
        <w:rPr>
          <w:rFonts w:ascii="Times New Roman" w:hAnsi="Times New Roman" w:cs="Times New Roman" w:eastAsia="Times New Roman"/>
          <w:b w:val="0"/>
          <w:sz w:val="24"/>
        </w:rPr>
        <w:t xml:space="preserve"> insieme ad Austria, Belgio, Canada, Francia, Germania Federale, Irlanda, Israele, Lussemburgo, Paesi Bassi, Regno Unito e Stati Uniti: </w:t>
      </w:r>
      <w:r>
        <w:rPr>
          <w:rFonts w:ascii="Times New Roman" w:hAnsi="Times New Roman" w:cs="Times New Roman" w:eastAsia="Times New Roman"/>
          <w:b/>
          <w:sz w:val="24"/>
        </w:rPr>
        <w:t>indice della compattezza del blocco occidentale già nel 1973.</w:t>
      </w:r>
    </w:p>
    <w:p>
      <w:pPr>
        <w:spacing w:line="276" w:lineRule="auto" w:after="0"/>
        <w:ind w:firstLine="425"/>
        <w:jc w:val="both"/>
      </w:pPr>
      <w:r>
        <w:rPr>
          <w:rFonts w:ascii="Times New Roman" w:hAnsi="Times New Roman" w:cs="Times New Roman" w:eastAsia="Times New Roman"/>
          <w:b/>
          <w:sz w:val="24"/>
        </w:rPr>
        <w:t>Un esito negativo va dichiarato.</w:t>
      </w:r>
      <w:r>
        <w:rPr>
          <w:rFonts w:ascii="Times New Roman" w:hAnsi="Times New Roman" w:cs="Times New Roman" w:eastAsia="Times New Roman"/>
          <w:b w:val="0"/>
          <w:sz w:val="24"/>
        </w:rPr>
        <w:t xml:space="preserve"> Per numerose risoluzioni namibiane intermedie — trentatré barra centoottantadue, trentaquattro barra novantadue, trentacinque barra duecentoventisette, trentasei barra centoventuno, trentasette barra duecentotrentatré, quaranta barra novantasette, quarantatré barra ventisei — </w:t>
      </w:r>
      <w:r>
        <w:rPr>
          <w:rFonts w:ascii="Times New Roman" w:hAnsi="Times New Roman" w:cs="Times New Roman" w:eastAsia="Times New Roman"/>
          <w:b/>
          <w:sz w:val="24"/>
        </w:rPr>
        <w:t>i risultati numerici sono in parte noti ma i voti individuali di Italia e Germania Federale non sono stati confermati al livello di paese.</w:t>
      </w:r>
    </w:p>
    <w:p>
      <w:pPr>
        <w:spacing w:line="276" w:lineRule="auto" w:after="0"/>
        <w:ind w:firstLine="0"/>
        <w:jc w:val="both"/>
      </w:pPr>
      <w:r>
        <w:rPr>
          <w:rFonts w:ascii="Times New Roman" w:hAnsi="Times New Roman" w:cs="Times New Roman" w:eastAsia="Times New Roman"/>
          <w:b/>
          <w:sz w:val="24"/>
        </w:rPr>
        <w:t>Capitolo settimo — L'inversione del 1976-1977, e la correzione alla sedicesima</w:t>
      </w:r>
    </w:p>
    <w:p>
      <w:pPr>
        <w:spacing w:line="276" w:lineRule="auto" w:after="0"/>
        <w:ind w:firstLine="425"/>
        <w:jc w:val="both"/>
      </w:pPr>
      <w:r>
        <w:rPr>
          <w:rFonts w:ascii="Times New Roman" w:hAnsi="Times New Roman" w:cs="Times New Roman" w:eastAsia="Times New Roman"/>
          <w:b w:val="0"/>
          <w:sz w:val="24"/>
        </w:rPr>
        <w:t>Il capitolo espone il risultato analitico maggiore di questa ricognizione, che modifica una lettura consolidata.</w:t>
      </w:r>
    </w:p>
    <w:p>
      <w:pPr>
        <w:spacing w:line="276" w:lineRule="auto" w:after="0"/>
        <w:ind w:firstLine="425"/>
        <w:jc w:val="both"/>
      </w:pPr>
      <w:r>
        <w:rPr>
          <w:rFonts w:ascii="Times New Roman" w:hAnsi="Times New Roman" w:cs="Times New Roman" w:eastAsia="Times New Roman"/>
          <w:b/>
          <w:sz w:val="24"/>
        </w:rPr>
        <w:t>Che cosa la sedicesima ricognizione aveva stabilito.</w:t>
      </w:r>
      <w:r>
        <w:rPr>
          <w:rFonts w:ascii="Times New Roman" w:hAnsi="Times New Roman" w:cs="Times New Roman" w:eastAsia="Times New Roman"/>
          <w:b w:val="0"/>
          <w:sz w:val="24"/>
        </w:rPr>
        <w:t xml:space="preserve"> Che la Repubblica Federale sedeva nel Gruppo di contatto occidentale sulla Namibia </w:t>
      </w:r>
      <w:r>
        <w:rPr>
          <w:rFonts w:ascii="Times New Roman" w:hAnsi="Times New Roman" w:cs="Times New Roman" w:eastAsia="Times New Roman"/>
          <w:b/>
          <w:sz w:val="24"/>
        </w:rPr>
        <w:t>per ragione di seggio</w:t>
      </w:r>
      <w:r>
        <w:rPr>
          <w:rFonts w:ascii="Times New Roman" w:hAnsi="Times New Roman" w:cs="Times New Roman" w:eastAsia="Times New Roman"/>
          <w:b w:val="0"/>
          <w:sz w:val="24"/>
        </w:rPr>
        <w:t xml:space="preserve">, e che l'Italia ne era esclusa </w:t>
      </w:r>
      <w:r>
        <w:rPr>
          <w:rFonts w:ascii="Times New Roman" w:hAnsi="Times New Roman" w:cs="Times New Roman" w:eastAsia="Times New Roman"/>
          <w:b/>
          <w:sz w:val="24"/>
        </w:rPr>
        <w:t>per la medesima ragione, essendo il suo mandato scaduto il 31 dicembre 1976.</w:t>
      </w:r>
      <w:r>
        <w:rPr>
          <w:rFonts w:ascii="Times New Roman" w:hAnsi="Times New Roman" w:cs="Times New Roman" w:eastAsia="Times New Roman"/>
          <w:b w:val="0"/>
          <w:sz w:val="24"/>
        </w:rPr>
        <w:t xml:space="preserve"> E che la differenza fra le due potenze era </w:t>
      </w:r>
      <w:r>
        <w:rPr>
          <w:rFonts w:ascii="Times New Roman" w:hAnsi="Times New Roman" w:cs="Times New Roman" w:eastAsia="Times New Roman"/>
          <w:b/>
          <w:sz w:val="24"/>
        </w:rPr>
        <w:t>di collocazione istituzionale.</w:t>
      </w:r>
    </w:p>
    <w:p>
      <w:pPr>
        <w:spacing w:line="276" w:lineRule="auto" w:after="0"/>
        <w:ind w:firstLine="0"/>
        <w:jc w:val="both"/>
      </w:pPr>
      <w:r>
        <w:rPr>
          <w:rFonts w:ascii="Times New Roman" w:hAnsi="Times New Roman" w:cs="Times New Roman" w:eastAsia="Times New Roman"/>
          <w:b/>
          <w:sz w:val="24"/>
        </w:rPr>
        <w:t>Che cosa i voti aggiungono, e va enunciato con precisione perché rovescia l'attesa.</w:t>
      </w:r>
    </w:p>
    <w:p>
      <w:pPr>
        <w:spacing w:line="276" w:lineRule="auto" w:after="0"/>
        <w:ind w:firstLine="0"/>
        <w:jc w:val="both"/>
      </w:pPr>
      <w:r>
        <w:rPr>
          <w:rFonts w:ascii="Times New Roman" w:hAnsi="Times New Roman" w:cs="Times New Roman" w:eastAsia="Times New Roman"/>
          <w:b/>
          <w:sz w:val="24"/>
        </w:rPr>
        <w:t>Nella fase 1976-1977, sui voti namibiani, l'Italia esclusa dal consesso negoziale fu più avanzata della Germania che vi sedeva.</w:t>
      </w:r>
    </w:p>
    <w:p>
      <w:pPr>
        <w:spacing w:line="276" w:lineRule="auto" w:after="0"/>
        <w:ind w:firstLine="0"/>
        <w:jc w:val="both"/>
      </w:pPr>
      <w:r>
        <w:rPr>
          <w:rFonts w:ascii="Times New Roman" w:hAnsi="Times New Roman" w:cs="Times New Roman" w:eastAsia="Times New Roman"/>
          <w:b/>
          <w:sz w:val="24"/>
        </w:rPr>
        <w:t>Sul testo politicamente più carico — il riconoscimento della SWAPO come unico rappresentante — la Germania votò CONTRO e l'Italia si limitò all'ASTENSIONE.</w:t>
      </w:r>
    </w:p>
    <w:p>
      <w:pPr>
        <w:spacing w:line="276" w:lineRule="auto" w:after="0"/>
        <w:ind w:firstLine="0"/>
        <w:jc w:val="both"/>
      </w:pPr>
      <w:r>
        <w:rPr>
          <w:rFonts w:ascii="Times New Roman" w:hAnsi="Times New Roman" w:cs="Times New Roman" w:eastAsia="Times New Roman"/>
          <w:b/>
          <w:sz w:val="24"/>
        </w:rPr>
        <w:t>Su tre testi successivi l'Italia votò A FAVORE mentre la Germania si asteneva.</w:t>
      </w:r>
    </w:p>
    <w:p>
      <w:pPr>
        <w:spacing w:line="276" w:lineRule="auto" w:after="0"/>
        <w:ind w:firstLine="0"/>
        <w:jc w:val="both"/>
      </w:pPr>
      <w:r>
        <w:rPr>
          <w:rFonts w:ascii="Times New Roman" w:hAnsi="Times New Roman" w:cs="Times New Roman" w:eastAsia="Times New Roman"/>
          <w:b/>
          <w:sz w:val="24"/>
        </w:rPr>
        <w:t>Quattro voti, quattro volte l'Italia più avanti.</w:t>
      </w:r>
    </w:p>
    <w:p>
      <w:pPr>
        <w:spacing w:line="276" w:lineRule="auto" w:after="0"/>
        <w:ind w:firstLine="425"/>
        <w:jc w:val="both"/>
      </w:pPr>
      <w:r>
        <w:rPr>
          <w:rFonts w:ascii="Times New Roman" w:hAnsi="Times New Roman" w:cs="Times New Roman" w:eastAsia="Times New Roman"/>
          <w:b/>
          <w:sz w:val="24"/>
        </w:rPr>
        <w:t>La spiegazione plausibile va offerta e qualificata come tale.</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La Germania, membro del Gruppo di contatto, era negoziatrice con Pretoria e aveva perciò interesse a non pregiudicare il negoziato con voti che il Sudafrica avrebbe letto come ostili.</w:t>
      </w:r>
      <w:r>
        <w:rPr>
          <w:rFonts w:ascii="Times New Roman" w:hAnsi="Times New Roman" w:cs="Times New Roman" w:eastAsia="Times New Roman"/>
          <w:b w:val="0"/>
          <w:sz w:val="24"/>
        </w:rPr>
        <w:t xml:space="preserve"> L'Italia, </w:t>
      </w:r>
      <w:r>
        <w:rPr>
          <w:rFonts w:ascii="Times New Roman" w:hAnsi="Times New Roman" w:cs="Times New Roman" w:eastAsia="Times New Roman"/>
          <w:b/>
          <w:sz w:val="24"/>
        </w:rPr>
        <w:t>priva di responsabilità negoziali, poteva votare secondo la propria posizione senza costo diplomatico.</w:t>
      </w:r>
    </w:p>
    <w:p>
      <w:pPr>
        <w:spacing w:line="276" w:lineRule="auto" w:after="0"/>
        <w:ind w:firstLine="0"/>
        <w:jc w:val="both"/>
      </w:pPr>
      <w:r>
        <w:rPr>
          <w:rFonts w:ascii="Times New Roman" w:hAnsi="Times New Roman" w:cs="Times New Roman" w:eastAsia="Times New Roman"/>
          <w:b/>
          <w:sz w:val="24"/>
        </w:rPr>
        <w:t>Ne discende un rilievo generale: la partecipazione a un consesso negoziale vincola il voto, e l'esclusione lo libera.</w:t>
      </w:r>
    </w:p>
    <w:p>
      <w:pPr>
        <w:spacing w:line="276" w:lineRule="auto" w:after="0"/>
        <w:ind w:firstLine="0"/>
        <w:jc w:val="both"/>
      </w:pPr>
      <w:r>
        <w:rPr>
          <w:rFonts w:ascii="Times New Roman" w:hAnsi="Times New Roman" w:cs="Times New Roman" w:eastAsia="Times New Roman"/>
          <w:b/>
          <w:sz w:val="24"/>
        </w:rPr>
        <w:t>Chi sta al tavolo paga in libertà di voto ciò che guadagna in influenza. Chi ne è fuori vota più liberamente perché il suo voto pesa meno.</w:t>
      </w:r>
    </w:p>
    <w:p>
      <w:pPr>
        <w:spacing w:line="276" w:lineRule="auto" w:after="0"/>
        <w:ind w:firstLine="0"/>
        <w:jc w:val="both"/>
      </w:pPr>
      <w:r>
        <w:rPr>
          <w:rFonts w:ascii="Times New Roman" w:hAnsi="Times New Roman" w:cs="Times New Roman" w:eastAsia="Times New Roman"/>
          <w:b/>
          <w:sz w:val="24"/>
        </w:rPr>
        <w:t>La correzione alla sedicesima ricognizione va formulata così.** Essa aveva concluso che la differenza fra Italia e Germania sulla Namibia era **di collocazione istituzionale e non di condotta.</w:t>
      </w:r>
    </w:p>
    <w:p>
      <w:pPr>
        <w:spacing w:line="276" w:lineRule="auto" w:after="0"/>
        <w:ind w:firstLine="0"/>
        <w:jc w:val="both"/>
      </w:pPr>
      <w:r>
        <w:rPr>
          <w:rFonts w:ascii="Times New Roman" w:hAnsi="Times New Roman" w:cs="Times New Roman" w:eastAsia="Times New Roman"/>
          <w:b/>
          <w:sz w:val="24"/>
        </w:rPr>
        <w:t>Va emendata: la differenza di collocazione produsse una differenza di condotta, e in direzione opposta a quella che l'intuizione suggerirebbe. La potenza esclusa risulta, sul registro dei voti, la più avanzata delle due.</w:t>
      </w:r>
    </w:p>
    <w:p>
      <w:pPr>
        <w:spacing w:line="276" w:lineRule="auto" w:after="0"/>
        <w:ind w:firstLine="0"/>
        <w:jc w:val="both"/>
      </w:pPr>
      <w:r>
        <w:rPr>
          <w:rFonts w:ascii="Times New Roman" w:hAnsi="Times New Roman" w:cs="Times New Roman" w:eastAsia="Times New Roman"/>
          <w:b/>
          <w:sz w:val="24"/>
        </w:rPr>
        <w:t>Ma l'emendazione va contenuta entro i propri limiti, e tre avvertenze la circoscrivono.</w:t>
      </w:r>
    </w:p>
    <w:p>
      <w:pPr>
        <w:spacing w:line="276" w:lineRule="auto" w:after="0"/>
        <w:ind w:firstLine="425"/>
        <w:jc w:val="both"/>
      </w:pPr>
      <w:r>
        <w:rPr>
          <w:rFonts w:ascii="Times New Roman" w:hAnsi="Times New Roman" w:cs="Times New Roman" w:eastAsia="Times New Roman"/>
          <w:b/>
          <w:sz w:val="24"/>
        </w:rPr>
        <w:t>Prima: un voto non è una condotta complessiva.</w:t>
      </w:r>
      <w:r>
        <w:rPr>
          <w:rFonts w:ascii="Times New Roman" w:hAnsi="Times New Roman" w:cs="Times New Roman" w:eastAsia="Times New Roman"/>
          <w:b w:val="0"/>
          <w:sz w:val="24"/>
        </w:rPr>
        <w:t xml:space="preserve"> L'Italia che votava a favore delle risoluzioni namibiane era la medesima che manteneva ambasciata a Pretoria e la licenza Aermacchi.</w:t>
      </w:r>
    </w:p>
    <w:p>
      <w:pPr>
        <w:spacing w:line="276" w:lineRule="auto" w:after="0"/>
        <w:ind w:firstLine="425"/>
        <w:jc w:val="both"/>
      </w:pPr>
      <w:r>
        <w:rPr>
          <w:rFonts w:ascii="Times New Roman" w:hAnsi="Times New Roman" w:cs="Times New Roman" w:eastAsia="Times New Roman"/>
          <w:b/>
          <w:sz w:val="24"/>
        </w:rPr>
        <w:t>Seconda: la differenza dura poco.</w:t>
      </w:r>
      <w:r>
        <w:rPr>
          <w:rFonts w:ascii="Times New Roman" w:hAnsi="Times New Roman" w:cs="Times New Roman" w:eastAsia="Times New Roman"/>
          <w:b w:val="0"/>
          <w:sz w:val="24"/>
        </w:rPr>
        <w:t xml:space="preserve"> Dal 1984 le due potenze </w:t>
      </w:r>
      <w:r>
        <w:rPr>
          <w:rFonts w:ascii="Times New Roman" w:hAnsi="Times New Roman" w:cs="Times New Roman" w:eastAsia="Times New Roman"/>
          <w:b/>
          <w:sz w:val="24"/>
        </w:rPr>
        <w:t>convergono su un'astensione identica</w:t>
      </w:r>
      <w:r>
        <w:rPr>
          <w:rFonts w:ascii="Times New Roman" w:hAnsi="Times New Roman" w:cs="Times New Roman" w:eastAsia="Times New Roman"/>
          <w:b w:val="0"/>
          <w:sz w:val="24"/>
        </w:rPr>
        <w:t>, e vi restano.</w:t>
      </w:r>
    </w:p>
    <w:p>
      <w:pPr>
        <w:spacing w:line="276" w:lineRule="auto" w:after="0"/>
        <w:ind w:firstLine="425"/>
        <w:jc w:val="both"/>
      </w:pPr>
      <w:r>
        <w:rPr>
          <w:rFonts w:ascii="Times New Roman" w:hAnsi="Times New Roman" w:cs="Times New Roman" w:eastAsia="Times New Roman"/>
          <w:b/>
          <w:sz w:val="24"/>
        </w:rPr>
        <w:t>Terza: un voto è un voto, e non se ne inferiscono le intenzioni</w:t>
      </w:r>
      <w:r>
        <w:rPr>
          <w:rFonts w:ascii="Times New Roman" w:hAnsi="Times New Roman" w:cs="Times New Roman" w:eastAsia="Times New Roman"/>
          <w:b w:val="0"/>
          <w:sz w:val="24"/>
        </w:rPr>
        <w:t>, che andrebbero cercate nelle dichiarazioni esplicative — non reperite, come il Capitolo nono dichiara.</w:t>
      </w:r>
    </w:p>
    <w:p>
      <w:pPr>
        <w:spacing w:line="276" w:lineRule="auto" w:after="0"/>
        <w:ind w:firstLine="0"/>
        <w:jc w:val="both"/>
      </w:pPr>
      <w:r>
        <w:rPr>
          <w:rFonts w:ascii="Times New Roman" w:hAnsi="Times New Roman" w:cs="Times New Roman" w:eastAsia="Times New Roman"/>
          <w:b/>
          <w:sz w:val="24"/>
        </w:rPr>
        <w:t>Capitolo ottavo — Lo schema del 30 settembre 1974, verificato</w:t>
      </w:r>
    </w:p>
    <w:p>
      <w:pPr>
        <w:spacing w:line="276" w:lineRule="auto" w:after="0"/>
        <w:ind w:firstLine="425"/>
        <w:jc w:val="both"/>
      </w:pPr>
      <w:r>
        <w:rPr>
          <w:rFonts w:ascii="Times New Roman" w:hAnsi="Times New Roman" w:cs="Times New Roman" w:eastAsia="Times New Roman"/>
          <w:b w:val="0"/>
          <w:sz w:val="24"/>
        </w:rPr>
        <w:t>Il capitolo risponde alla domanda analitica che la ricerca aveva posto.</w:t>
      </w:r>
    </w:p>
    <w:p>
      <w:pPr>
        <w:spacing w:line="276" w:lineRule="auto" w:after="0"/>
        <w:ind w:firstLine="425"/>
        <w:jc w:val="both"/>
      </w:pPr>
      <w:r>
        <w:rPr>
          <w:rFonts w:ascii="Times New Roman" w:hAnsi="Times New Roman" w:cs="Times New Roman" w:eastAsia="Times New Roman"/>
          <w:b/>
          <w:sz w:val="24"/>
        </w:rPr>
        <w:t>La domanda era questa.</w:t>
      </w:r>
      <w:r>
        <w:rPr>
          <w:rFonts w:ascii="Times New Roman" w:hAnsi="Times New Roman" w:cs="Times New Roman" w:eastAsia="Times New Roman"/>
          <w:b w:val="0"/>
          <w:sz w:val="24"/>
        </w:rPr>
        <w:t xml:space="preserve"> Il doppio comportamento del </w:t>
      </w:r>
      <w:r>
        <w:rPr>
          <w:rFonts w:ascii="Times New Roman" w:hAnsi="Times New Roman" w:cs="Times New Roman" w:eastAsia="Times New Roman"/>
          <w:b/>
          <w:sz w:val="24"/>
        </w:rPr>
        <w:t>30 settembre 1974</w:t>
      </w:r>
      <w:r>
        <w:rPr>
          <w:rFonts w:ascii="Times New Roman" w:hAnsi="Times New Roman" w:cs="Times New Roman" w:eastAsia="Times New Roman"/>
          <w:b w:val="0"/>
          <w:sz w:val="24"/>
        </w:rPr>
        <w:t xml:space="preserve"> — contrario sulla risoluzione tremiladuecentosei relativa al rifiuto delle credenziali sudafricane, favorevole sulla tremiladuecentosette relativa alla condanna sostanziale — </w:t>
      </w:r>
      <w:r>
        <w:rPr>
          <w:rFonts w:ascii="Times New Roman" w:hAnsi="Times New Roman" w:cs="Times New Roman" w:eastAsia="Times New Roman"/>
          <w:b/>
          <w:sz w:val="24"/>
        </w:rPr>
        <w:t>era caso isolato o regolarità?</w:t>
      </w:r>
    </w:p>
    <w:p>
      <w:pPr>
        <w:spacing w:line="276" w:lineRule="auto" w:after="0"/>
        <w:ind w:firstLine="0"/>
        <w:jc w:val="both"/>
      </w:pPr>
      <w:r>
        <w:rPr>
          <w:rFonts w:ascii="Times New Roman" w:hAnsi="Times New Roman" w:cs="Times New Roman" w:eastAsia="Times New Roman"/>
          <w:b/>
          <w:sz w:val="24"/>
        </w:rPr>
        <w:t>La risposta è: regolarità, con evoluzione.</w:t>
      </w:r>
    </w:p>
    <w:p>
      <w:pPr>
        <w:spacing w:line="276" w:lineRule="auto" w:after="0"/>
        <w:ind w:firstLine="0"/>
        <w:jc w:val="both"/>
      </w:pPr>
      <w:r>
        <w:rPr>
          <w:rFonts w:ascii="Times New Roman" w:hAnsi="Times New Roman" w:cs="Times New Roman" w:eastAsia="Times New Roman"/>
          <w:b/>
          <w:sz w:val="24"/>
        </w:rPr>
        <w:t>Lo schema.** L'Italia distingue sistematicamente **il piano procedurale e di esclusione, dove resiste, da quello della condanna sostanziale, dove aderisce.</w:t>
      </w:r>
    </w:p>
    <w:p>
      <w:pPr>
        <w:spacing w:line="276" w:lineRule="auto" w:after="0"/>
        <w:ind w:firstLine="425"/>
        <w:jc w:val="both"/>
      </w:pPr>
      <w:r>
        <w:rPr>
          <w:rFonts w:ascii="Times New Roman" w:hAnsi="Times New Roman" w:cs="Times New Roman" w:eastAsia="Times New Roman"/>
          <w:b/>
          <w:sz w:val="24"/>
        </w:rPr>
        <w:t>Le verifiche.</w:t>
      </w:r>
      <w:r>
        <w:rPr>
          <w:rFonts w:ascii="Times New Roman" w:hAnsi="Times New Roman" w:cs="Times New Roman" w:eastAsia="Times New Roman"/>
          <w:b w:val="0"/>
          <w:sz w:val="24"/>
        </w:rPr>
        <w:t xml:space="preserve"> Nel 1973 si astiene sulla risoluzione namibiana con l'intero blocco occidentale. Nel 1976 si astiene sul riconoscimento della SWAPO — atto che ha natura di </w:t>
      </w:r>
      <w:r>
        <w:rPr>
          <w:rFonts w:ascii="Times New Roman" w:hAnsi="Times New Roman" w:cs="Times New Roman" w:eastAsia="Times New Roman"/>
          <w:b/>
          <w:sz w:val="24"/>
        </w:rPr>
        <w:t>attribuzione di rappresentanza esclusiva</w:t>
      </w:r>
      <w:r>
        <w:rPr>
          <w:rFonts w:ascii="Times New Roman" w:hAnsi="Times New Roman" w:cs="Times New Roman" w:eastAsia="Times New Roman"/>
          <w:b w:val="0"/>
          <w:sz w:val="24"/>
        </w:rPr>
        <w:t xml:space="preserve">, dunque procedurale nel senso ampio — ma </w:t>
      </w:r>
      <w:r>
        <w:rPr>
          <w:rFonts w:ascii="Times New Roman" w:hAnsi="Times New Roman" w:cs="Times New Roman" w:eastAsia="Times New Roman"/>
          <w:b/>
          <w:sz w:val="24"/>
        </w:rPr>
        <w:t>vota a favore</w:t>
      </w:r>
      <w:r>
        <w:rPr>
          <w:rFonts w:ascii="Times New Roman" w:hAnsi="Times New Roman" w:cs="Times New Roman" w:eastAsia="Times New Roman"/>
          <w:b w:val="0"/>
          <w:sz w:val="24"/>
        </w:rPr>
        <w:t xml:space="preserve"> dei tre testi successivi di sostegno alla Namibia.</w:t>
      </w:r>
    </w:p>
    <w:p>
      <w:pPr>
        <w:spacing w:line="276" w:lineRule="auto" w:after="0"/>
        <w:ind w:firstLine="0"/>
        <w:jc w:val="both"/>
      </w:pPr>
      <w:r>
        <w:rPr>
          <w:rFonts w:ascii="Times New Roman" w:hAnsi="Times New Roman" w:cs="Times New Roman" w:eastAsia="Times New Roman"/>
          <w:b/>
          <w:sz w:val="24"/>
        </w:rPr>
        <w:t>Nel 1977 vota a favore dell'intensificazione dell'azione delle Nazioni Unite.</w:t>
      </w:r>
    </w:p>
    <w:p>
      <w:pPr>
        <w:spacing w:line="276" w:lineRule="auto" w:after="0"/>
        <w:ind w:firstLine="0"/>
        <w:jc w:val="both"/>
      </w:pPr>
      <w:r>
        <w:rPr>
          <w:rFonts w:ascii="Times New Roman" w:hAnsi="Times New Roman" w:cs="Times New Roman" w:eastAsia="Times New Roman"/>
          <w:b/>
          <w:sz w:val="24"/>
        </w:rPr>
        <w:t>Ne discende che lo schema del 1974 non è un episodio ma una grammatica: l'Italia sostiene le condanne e i sostegni, e si sottrae agli atti che escludono o che attribuiscono rappresentanze esclusive.</w:t>
      </w:r>
    </w:p>
    <w:p>
      <w:pPr>
        <w:spacing w:line="276" w:lineRule="auto" w:after="0"/>
        <w:ind w:firstLine="425"/>
        <w:jc w:val="both"/>
      </w:pPr>
      <w:r>
        <w:rPr>
          <w:rFonts w:ascii="Times New Roman" w:hAnsi="Times New Roman" w:cs="Times New Roman" w:eastAsia="Times New Roman"/>
          <w:b/>
          <w:sz w:val="24"/>
        </w:rPr>
        <w:t>L'evoluzione, e va registrata perché non è un miglioramento.</w:t>
      </w:r>
      <w:r>
        <w:rPr>
          <w:rFonts w:ascii="Times New Roman" w:hAnsi="Times New Roman" w:cs="Times New Roman" w:eastAsia="Times New Roman"/>
          <w:b w:val="0"/>
          <w:sz w:val="24"/>
        </w:rPr>
        <w:t xml:space="preserve"> Dal 1984 la posizione </w:t>
      </w:r>
      <w:r>
        <w:rPr>
          <w:rFonts w:ascii="Times New Roman" w:hAnsi="Times New Roman" w:cs="Times New Roman" w:eastAsia="Times New Roman"/>
          <w:b/>
          <w:sz w:val="24"/>
        </w:rPr>
        <w:t>si assesta sull'astensione anche sui testi di sostegno</w:t>
      </w:r>
      <w:r>
        <w:rPr>
          <w:rFonts w:ascii="Times New Roman" w:hAnsi="Times New Roman" w:cs="Times New Roman" w:eastAsia="Times New Roman"/>
          <w:b w:val="0"/>
          <w:sz w:val="24"/>
        </w:rPr>
        <w:t>, e l'Italia entra stabilmente nel blocco astensionista dell'Europa occidentale allargato a Giappone, Canada, Australia e Nuova Zelanda.</w:t>
      </w:r>
    </w:p>
    <w:p>
      <w:pPr>
        <w:spacing w:line="276" w:lineRule="auto" w:after="0"/>
        <w:ind w:firstLine="0"/>
        <w:jc w:val="both"/>
      </w:pPr>
      <w:r>
        <w:rPr>
          <w:rFonts w:ascii="Times New Roman" w:hAnsi="Times New Roman" w:cs="Times New Roman" w:eastAsia="Times New Roman"/>
          <w:b/>
          <w:sz w:val="24"/>
        </w:rPr>
        <w:t>La grammatica del 1974 si semplifica in una posizione unica, e la posizione unica è più arretrata delle due che l'avevano preceduta.</w:t>
      </w:r>
    </w:p>
    <w:p>
      <w:pPr>
        <w:spacing w:line="276" w:lineRule="auto" w:after="0"/>
        <w:ind w:firstLine="0"/>
        <w:jc w:val="both"/>
      </w:pPr>
      <w:r>
        <w:rPr>
          <w:rFonts w:ascii="Times New Roman" w:hAnsi="Times New Roman" w:cs="Times New Roman" w:eastAsia="Times New Roman"/>
          <w:b/>
          <w:sz w:val="24"/>
        </w:rPr>
        <w:t>Un esito negativo circoscrive l'accertamento.** Per il periodo **1969-1973** i voti individuali italiani sulle risoluzioni relative all'apartheid **restano in ampia parte non verificati al livello di paese.</w:t>
      </w:r>
    </w:p>
    <w:p>
      <w:pPr>
        <w:spacing w:line="276" w:lineRule="auto" w:after="0"/>
        <w:ind w:firstLine="425"/>
        <w:jc w:val="both"/>
      </w:pPr>
      <w:r>
        <w:rPr>
          <w:rFonts w:ascii="Times New Roman" w:hAnsi="Times New Roman" w:cs="Times New Roman" w:eastAsia="Times New Roman"/>
          <w:b/>
          <w:sz w:val="24"/>
        </w:rPr>
        <w:t>In particolare, la risoluzione duemilasettecentosettantacinque della ventiseiesima sessione, del 29 novembre 1971, intitolata proprio Arms embargo e adottata con centosette favorevoli, due contrari e cinque astenuti nella millenovecentonovantasettesima seduta plenaria, ha lista per paese troncata nelle risorse accessibili.</w:t>
      </w:r>
    </w:p>
    <w:p>
      <w:pPr>
        <w:spacing w:line="276" w:lineRule="auto" w:after="0"/>
        <w:ind w:firstLine="0"/>
        <w:jc w:val="both"/>
      </w:pPr>
      <w:r>
        <w:rPr>
          <w:rFonts w:ascii="Times New Roman" w:hAnsi="Times New Roman" w:cs="Times New Roman" w:eastAsia="Times New Roman"/>
          <w:b/>
          <w:sz w:val="24"/>
        </w:rPr>
        <w:t>È la risoluzione più direttamente pertinente al perimetro dell'intera serie — l'embargo sulle armi — e il voto italiano su di essa non è stato accertato. Sede: la scheda di voting data del singolo documento.</w:t>
      </w:r>
    </w:p>
    <w:p>
      <w:pPr>
        <w:spacing w:line="276" w:lineRule="auto" w:after="0"/>
        <w:ind w:firstLine="0"/>
        <w:jc w:val="both"/>
      </w:pPr>
      <w:r>
        <w:rPr>
          <w:rFonts w:ascii="Times New Roman" w:hAnsi="Times New Roman" w:cs="Times New Roman" w:eastAsia="Times New Roman"/>
          <w:b/>
          <w:sz w:val="24"/>
        </w:rPr>
        <w:t>Capitolo nono — Dichiarazioni e sponsorizzazioni: esito parziale</w:t>
      </w:r>
    </w:p>
    <w:p>
      <w:pPr>
        <w:spacing w:line="276" w:lineRule="auto" w:after="0"/>
        <w:ind w:firstLine="425"/>
        <w:jc w:val="both"/>
      </w:pPr>
      <w:r>
        <w:rPr>
          <w:rFonts w:ascii="Times New Roman" w:hAnsi="Times New Roman" w:cs="Times New Roman" w:eastAsia="Times New Roman"/>
          <w:b w:val="0"/>
          <w:sz w:val="24"/>
        </w:rPr>
        <w:t>Il capitolo è breve e ne dichiara la ragione.</w:t>
      </w:r>
    </w:p>
    <w:p>
      <w:pPr>
        <w:spacing w:line="276" w:lineRule="auto" w:after="0"/>
        <w:ind w:firstLine="425"/>
        <w:jc w:val="both"/>
      </w:pPr>
      <w:r>
        <w:rPr>
          <w:rFonts w:ascii="Times New Roman" w:hAnsi="Times New Roman" w:cs="Times New Roman" w:eastAsia="Times New Roman"/>
          <w:b/>
          <w:sz w:val="24"/>
        </w:rPr>
        <w:t>Che cosa si cercava.</w:t>
      </w:r>
      <w:r>
        <w:rPr>
          <w:rFonts w:ascii="Times New Roman" w:hAnsi="Times New Roman" w:cs="Times New Roman" w:eastAsia="Times New Roman"/>
          <w:b w:val="0"/>
          <w:sz w:val="24"/>
        </w:rPr>
        <w:t xml:space="preserve"> Le </w:t>
      </w:r>
      <w:r>
        <w:rPr>
          <w:rFonts w:ascii="Times New Roman" w:hAnsi="Times New Roman" w:cs="Times New Roman" w:eastAsia="Times New Roman"/>
          <w:b/>
          <w:sz w:val="24"/>
        </w:rPr>
        <w:t>dichiarazioni esplicative di voto</w:t>
      </w:r>
      <w:r>
        <w:rPr>
          <w:rFonts w:ascii="Times New Roman" w:hAnsi="Times New Roman" w:cs="Times New Roman" w:eastAsia="Times New Roman"/>
          <w:b w:val="0"/>
          <w:sz w:val="24"/>
        </w:rPr>
        <w:t xml:space="preserve"> dei delegati italiani sulle risoluzioni namibiane e sull'apartheid, che sono l'unico luogo dove le intenzioni di un voto sono documentate anziché inferite.</w:t>
      </w:r>
    </w:p>
    <w:p>
      <w:pPr>
        <w:spacing w:line="276" w:lineRule="auto" w:after="0"/>
        <w:ind w:firstLine="0"/>
        <w:jc w:val="both"/>
      </w:pPr>
      <w:r>
        <w:rPr>
          <w:rFonts w:ascii="Times New Roman" w:hAnsi="Times New Roman" w:cs="Times New Roman" w:eastAsia="Times New Roman"/>
          <w:b/>
          <w:sz w:val="24"/>
        </w:rPr>
        <w:t>Che cosa si è trovato.** **Nulla, nei limiti delle fonti accessibili.</w:t>
      </w:r>
    </w:p>
    <w:p>
      <w:pPr>
        <w:spacing w:line="276" w:lineRule="auto" w:after="0"/>
        <w:ind w:firstLine="425"/>
        <w:jc w:val="both"/>
      </w:pPr>
      <w:r>
        <w:rPr>
          <w:rFonts w:ascii="Times New Roman" w:hAnsi="Times New Roman" w:cs="Times New Roman" w:eastAsia="Times New Roman"/>
          <w:b/>
          <w:sz w:val="24"/>
        </w:rPr>
        <w:t>Le sedi.</w:t>
      </w:r>
      <w:r>
        <w:rPr>
          <w:rFonts w:ascii="Times New Roman" w:hAnsi="Times New Roman" w:cs="Times New Roman" w:eastAsia="Times New Roman"/>
          <w:b w:val="0"/>
          <w:sz w:val="24"/>
        </w:rPr>
        <w:t xml:space="preserve"> I </w:t>
      </w:r>
      <w:r>
        <w:rPr>
          <w:rFonts w:ascii="Times New Roman" w:hAnsi="Times New Roman" w:cs="Times New Roman" w:eastAsia="Times New Roman"/>
          <w:b/>
          <w:sz w:val="24"/>
        </w:rPr>
        <w:t>verbali plenari della serie A/PV</w:t>
      </w:r>
      <w:r>
        <w:rPr>
          <w:rFonts w:ascii="Times New Roman" w:hAnsi="Times New Roman" w:cs="Times New Roman" w:eastAsia="Times New Roman"/>
          <w:b w:val="0"/>
          <w:sz w:val="24"/>
        </w:rPr>
        <w:t xml:space="preserve"> — e in particolare </w:t>
      </w:r>
      <w:r>
        <w:rPr>
          <w:rFonts w:ascii="Times New Roman" w:hAnsi="Times New Roman" w:cs="Times New Roman" w:eastAsia="Times New Roman"/>
          <w:b/>
          <w:sz w:val="24"/>
        </w:rPr>
        <w:t>A/31/PV.105</w:t>
      </w:r>
      <w:r>
        <w:rPr>
          <w:rFonts w:ascii="Times New Roman" w:hAnsi="Times New Roman" w:cs="Times New Roman" w:eastAsia="Times New Roman"/>
          <w:b w:val="0"/>
          <w:sz w:val="24"/>
        </w:rPr>
        <w:t>, seduta in cui fu adottata la risoluzione sul riconoscimento della SWAPO — nonché le serie relative alle sessioni trentanovesima, quarantunesima e quarantaduesima, e i verbali di Comitato.</w:t>
      </w:r>
    </w:p>
    <w:p>
      <w:pPr>
        <w:spacing w:line="276" w:lineRule="auto" w:after="0"/>
        <w:ind w:firstLine="0"/>
        <w:jc w:val="both"/>
      </w:pPr>
      <w:r>
        <w:rPr>
          <w:rFonts w:ascii="Times New Roman" w:hAnsi="Times New Roman" w:cs="Times New Roman" w:eastAsia="Times New Roman"/>
          <w:b/>
          <w:sz w:val="24"/>
        </w:rPr>
        <w:t>Ne discende una conseguenza che va enunciata perché limita il Capitolo settimo.</w:t>
      </w:r>
    </w:p>
    <w:p>
      <w:pPr>
        <w:spacing w:line="276" w:lineRule="auto" w:after="0"/>
        <w:ind w:firstLine="0"/>
        <w:jc w:val="both"/>
      </w:pPr>
      <w:r>
        <w:rPr>
          <w:rFonts w:ascii="Times New Roman" w:hAnsi="Times New Roman" w:cs="Times New Roman" w:eastAsia="Times New Roman"/>
          <w:b/>
          <w:sz w:val="24"/>
        </w:rPr>
        <w:t>L'inversione del 1976-1977 è accertata quanto al fatto — l'Italia votò più avanti della Germania — e non accertata quanto alla ragione.</w:t>
      </w:r>
    </w:p>
    <w:p>
      <w:pPr>
        <w:spacing w:line="276" w:lineRule="auto" w:after="0"/>
        <w:ind w:firstLine="0"/>
        <w:jc w:val="both"/>
      </w:pPr>
      <w:r>
        <w:rPr>
          <w:rFonts w:ascii="Times New Roman" w:hAnsi="Times New Roman" w:cs="Times New Roman" w:eastAsia="Times New Roman"/>
          <w:b/>
          <w:sz w:val="24"/>
        </w:rPr>
        <w:t>La spiegazione offerta al Capitolo settimo, secondo cui la partecipazione al Gruppo di contatto vincolava il voto tedesco, è inferenza plausibile e non lettura di documento.</w:t>
      </w:r>
    </w:p>
    <w:p>
      <w:pPr>
        <w:spacing w:line="276" w:lineRule="auto" w:after="0"/>
        <w:ind w:firstLine="0"/>
        <w:jc w:val="both"/>
      </w:pPr>
      <w:r>
        <w:rPr>
          <w:rFonts w:ascii="Times New Roman" w:hAnsi="Times New Roman" w:cs="Times New Roman" w:eastAsia="Times New Roman"/>
          <w:b/>
          <w:sz w:val="24"/>
        </w:rPr>
        <w:t>Chi voglia accertarla deve leggere le dichiarazioni esplicative tedesche del dicembre 1976, che esistono e sono nei verbali.</w:t>
      </w:r>
    </w:p>
    <w:p>
      <w:pPr>
        <w:spacing w:line="276" w:lineRule="auto" w:after="0"/>
        <w:ind w:firstLine="425"/>
        <w:jc w:val="both"/>
      </w:pPr>
      <w:r>
        <w:rPr>
          <w:rFonts w:ascii="Times New Roman" w:hAnsi="Times New Roman" w:cs="Times New Roman" w:eastAsia="Times New Roman"/>
          <w:b/>
          <w:sz w:val="24"/>
        </w:rPr>
        <w:t>Il secondo obiettivo del capitolo.</w:t>
      </w:r>
      <w:r>
        <w:rPr>
          <w:rFonts w:ascii="Times New Roman" w:hAnsi="Times New Roman" w:cs="Times New Roman" w:eastAsia="Times New Roman"/>
          <w:b w:val="0"/>
          <w:sz w:val="24"/>
        </w:rPr>
        <w:t xml:space="preserve"> Verificare se l'Italia figuri fra i </w:t>
      </w:r>
      <w:r>
        <w:rPr>
          <w:rFonts w:ascii="Times New Roman" w:hAnsi="Times New Roman" w:cs="Times New Roman" w:eastAsia="Times New Roman"/>
          <w:b/>
          <w:sz w:val="24"/>
        </w:rPr>
        <w:t>firmatari o promotori</w:t>
      </w:r>
      <w:r>
        <w:rPr>
          <w:rFonts w:ascii="Times New Roman" w:hAnsi="Times New Roman" w:cs="Times New Roman" w:eastAsia="Times New Roman"/>
          <w:b w:val="0"/>
          <w:sz w:val="24"/>
        </w:rPr>
        <w:t xml:space="preserve"> delle risoluzioni, o se si sia limitata a votare.</w:t>
      </w:r>
    </w:p>
    <w:p>
      <w:pPr>
        <w:spacing w:line="276" w:lineRule="auto" w:after="0"/>
        <w:ind w:firstLine="0"/>
        <w:jc w:val="both"/>
      </w:pPr>
      <w:r>
        <w:rPr>
          <w:rFonts w:ascii="Times New Roman" w:hAnsi="Times New Roman" w:cs="Times New Roman" w:eastAsia="Times New Roman"/>
          <w:b/>
          <w:sz w:val="24"/>
        </w:rPr>
        <w:t>I dati raccolti non la collocano fra i proponenti: la sua fu condotta di voto e non di sponsorizzazione.</w:t>
      </w:r>
    </w:p>
    <w:p>
      <w:pPr>
        <w:spacing w:line="276" w:lineRule="auto" w:after="0"/>
        <w:ind w:firstLine="425"/>
        <w:jc w:val="both"/>
      </w:pPr>
      <w:r>
        <w:rPr>
          <w:rFonts w:ascii="Times New Roman" w:hAnsi="Times New Roman" w:cs="Times New Roman" w:eastAsia="Times New Roman"/>
          <w:b/>
          <w:sz w:val="24"/>
        </w:rPr>
        <w:t>Ma l'esito è provvisorio</w:t>
      </w:r>
      <w:r>
        <w:rPr>
          <w:rFonts w:ascii="Times New Roman" w:hAnsi="Times New Roman" w:cs="Times New Roman" w:eastAsia="Times New Roman"/>
          <w:b w:val="0"/>
          <w:sz w:val="24"/>
        </w:rPr>
        <w:t>, e la verifica definitiva richiederebbe l'esame dei progetti di risoluzione della serie A con suffisso L, dove figura l'elenco dei co-proponenti.</w:t>
      </w:r>
    </w:p>
    <w:p>
      <w:pPr>
        <w:spacing w:line="276" w:lineRule="auto" w:after="0"/>
        <w:ind w:firstLine="0"/>
        <w:jc w:val="both"/>
      </w:pPr>
      <w:r>
        <w:rPr>
          <w:rFonts w:ascii="Times New Roman" w:hAnsi="Times New Roman" w:cs="Times New Roman" w:eastAsia="Times New Roman"/>
          <w:b/>
          <w:sz w:val="24"/>
        </w:rPr>
        <w:t>Ne discende una osservazione che vale per l'intera serie.</w:t>
      </w:r>
    </w:p>
    <w:p>
      <w:pPr>
        <w:spacing w:line="276" w:lineRule="auto" w:after="0"/>
        <w:ind w:firstLine="0"/>
        <w:jc w:val="both"/>
      </w:pPr>
      <w:r>
        <w:rPr>
          <w:rFonts w:ascii="Times New Roman" w:hAnsi="Times New Roman" w:cs="Times New Roman" w:eastAsia="Times New Roman"/>
          <w:b/>
          <w:sz w:val="24"/>
        </w:rPr>
        <w:t>Diciotto ricognizioni hanno cercato l'Italia come attore e l'hanno trovata, quando l'hanno trovata, come votante.</w:t>
      </w:r>
    </w:p>
    <w:p>
      <w:pPr>
        <w:spacing w:line="276" w:lineRule="auto" w:after="0"/>
        <w:ind w:firstLine="0"/>
        <w:jc w:val="both"/>
      </w:pPr>
      <w:r>
        <w:rPr>
          <w:rFonts w:ascii="Times New Roman" w:hAnsi="Times New Roman" w:cs="Times New Roman" w:eastAsia="Times New Roman"/>
          <w:b/>
          <w:sz w:val="24"/>
        </w:rPr>
        <w:t>Votare è la forma minima della presenza in un consesso multilaterale: è ciò che uno Stato fa quando è presente e non fa altro.</w:t>
      </w:r>
    </w:p>
    <w:p>
      <w:pPr>
        <w:spacing w:line="276" w:lineRule="auto" w:after="0"/>
        <w:ind w:firstLine="0"/>
        <w:jc w:val="both"/>
      </w:pPr>
      <w:r>
        <w:rPr>
          <w:rFonts w:ascii="Times New Roman" w:hAnsi="Times New Roman" w:cs="Times New Roman" w:eastAsia="Times New Roman"/>
          <w:b/>
          <w:sz w:val="24"/>
        </w:rPr>
        <w:t>Che in diciotto ricognizioni non sia emersa una sola risoluzione di cui l'Italia fosse proponente sull'Africa australe è, se confermato, un accertamento di rango.</w:t>
      </w:r>
    </w:p>
    <w:p>
      <w:pPr>
        <w:spacing w:line="276" w:lineRule="auto" w:after="0"/>
        <w:ind w:firstLine="0"/>
        <w:jc w:val="both"/>
      </w:pPr>
      <w:r>
        <w:rPr>
          <w:rFonts w:ascii="Times New Roman" w:hAnsi="Times New Roman" w:cs="Times New Roman" w:eastAsia="Times New Roman"/>
          <w:b/>
          <w:sz w:val="24"/>
        </w:rPr>
        <w:t>Capitolo decimo — Il decimo grado: la barriera macchinica</w:t>
      </w:r>
    </w:p>
    <w:p>
      <w:pPr>
        <w:spacing w:line="276" w:lineRule="auto" w:after="0"/>
        <w:ind w:firstLine="425"/>
        <w:jc w:val="both"/>
      </w:pPr>
      <w:r>
        <w:rPr>
          <w:rFonts w:ascii="Times New Roman" w:hAnsi="Times New Roman" w:cs="Times New Roman" w:eastAsia="Times New Roman"/>
          <w:b w:val="0"/>
          <w:sz w:val="24"/>
        </w:rPr>
        <w:t>Il capitolo propone un'aggiunta alla scala degli Stati Zero, e la propone perché il modo in cui questa ricerca è fallita non rientra in alcuno dei nove gradi esistenti.</w:t>
      </w:r>
    </w:p>
    <w:p>
      <w:pPr>
        <w:spacing w:line="276" w:lineRule="auto" w:after="0"/>
        <w:ind w:firstLine="425"/>
        <w:jc w:val="both"/>
      </w:pPr>
      <w:r>
        <w:rPr>
          <w:rFonts w:ascii="Times New Roman" w:hAnsi="Times New Roman" w:cs="Times New Roman" w:eastAsia="Times New Roman"/>
          <w:b/>
          <w:sz w:val="24"/>
        </w:rPr>
        <w:t>La scala consolidata nel corpus conta nove gradi.</w:t>
      </w:r>
      <w:r>
        <w:rPr>
          <w:rFonts w:ascii="Times New Roman" w:hAnsi="Times New Roman" w:cs="Times New Roman" w:eastAsia="Times New Roman"/>
          <w:b w:val="0"/>
          <w:sz w:val="24"/>
        </w:rPr>
        <w:t xml:space="preserve"> Impossibilità istituzionale; limite di strumento; deposito inesplorato; insieme vuoto verificato; esito negativo presso i beneficiari; assenza coerente con la collocazione; allegazione senza base; falso positivo; atto atipico.</w:t>
      </w:r>
    </w:p>
    <w:p>
      <w:pPr>
        <w:spacing w:line="276" w:lineRule="auto" w:after="0"/>
        <w:ind w:firstLine="0"/>
        <w:jc w:val="both"/>
      </w:pPr>
      <w:r>
        <w:rPr>
          <w:rFonts w:ascii="Times New Roman" w:hAnsi="Times New Roman" w:cs="Times New Roman" w:eastAsia="Times New Roman"/>
          <w:b/>
          <w:sz w:val="24"/>
        </w:rPr>
        <w:t>Nessuno descrive ciò che è accaduto ai documenti S/9640 e S/AC.20/27.</w:t>
      </w:r>
    </w:p>
    <w:p>
      <w:pPr>
        <w:spacing w:line="276" w:lineRule="auto" w:after="0"/>
        <w:ind w:firstLine="0"/>
        <w:jc w:val="both"/>
      </w:pPr>
      <w:r>
        <w:rPr>
          <w:rFonts w:ascii="Times New Roman" w:hAnsi="Times New Roman" w:cs="Times New Roman" w:eastAsia="Times New Roman"/>
          <w:b/>
          <w:sz w:val="24"/>
        </w:rPr>
        <w:t>La verifica, grado per grado.</w:t>
      </w:r>
    </w:p>
    <w:p>
      <w:pPr>
        <w:spacing w:line="276" w:lineRule="auto" w:after="0"/>
        <w:ind w:firstLine="425"/>
        <w:jc w:val="both"/>
      </w:pPr>
      <w:r>
        <w:rPr>
          <w:rFonts w:ascii="Times New Roman" w:hAnsi="Times New Roman" w:cs="Times New Roman" w:eastAsia="Times New Roman"/>
          <w:b/>
          <w:sz w:val="24"/>
        </w:rPr>
        <w:t>Non è impossibilità istituzionale</w:t>
      </w:r>
      <w:r>
        <w:rPr>
          <w:rFonts w:ascii="Times New Roman" w:hAnsi="Times New Roman" w:cs="Times New Roman" w:eastAsia="Times New Roman"/>
          <w:b w:val="0"/>
          <w:sz w:val="24"/>
        </w:rPr>
        <w:t xml:space="preserve">, perché </w:t>
      </w:r>
      <w:r>
        <w:rPr>
          <w:rFonts w:ascii="Times New Roman" w:hAnsi="Times New Roman" w:cs="Times New Roman" w:eastAsia="Times New Roman"/>
          <w:b/>
          <w:sz w:val="24"/>
        </w:rPr>
        <w:t>l'archivio è aperto</w:t>
      </w:r>
      <w:r>
        <w:rPr>
          <w:rFonts w:ascii="Times New Roman" w:hAnsi="Times New Roman" w:cs="Times New Roman" w:eastAsia="Times New Roman"/>
          <w:b w:val="0"/>
          <w:sz w:val="24"/>
        </w:rPr>
        <w:t>: i documenti sono pubblici, non classificati, non soggetti a termine di consultabilità.</w:t>
      </w:r>
    </w:p>
    <w:p>
      <w:pPr>
        <w:spacing w:line="276" w:lineRule="auto" w:after="0"/>
        <w:ind w:firstLine="0"/>
        <w:jc w:val="both"/>
      </w:pPr>
      <w:r>
        <w:rPr>
          <w:rFonts w:ascii="Times New Roman" w:hAnsi="Times New Roman" w:cs="Times New Roman" w:eastAsia="Times New Roman"/>
          <w:b/>
          <w:sz w:val="24"/>
        </w:rPr>
        <w:t>Non è limite di strumento** nel senso già codificato — la banca dati che comincia dal 1976 — perché **i documenti sono nella banca dati, catalogati e indicizzati.</w:t>
      </w:r>
    </w:p>
    <w:p>
      <w:pPr>
        <w:spacing w:line="276" w:lineRule="auto" w:after="0"/>
        <w:ind w:firstLine="0"/>
        <w:jc w:val="both"/>
      </w:pPr>
      <w:r>
        <w:rPr>
          <w:rFonts w:ascii="Times New Roman" w:hAnsi="Times New Roman" w:cs="Times New Roman" w:eastAsia="Times New Roman"/>
          <w:b/>
          <w:sz w:val="24"/>
        </w:rPr>
        <w:t>Non è deposito inesplorato**, perché **il deposito è esplorato: la scheda è stata letta, l'oggetto ufficiale trascritto, la segnatura verificata.</w:t>
      </w:r>
    </w:p>
    <w:p>
      <w:pPr>
        <w:spacing w:line="276" w:lineRule="auto" w:after="0"/>
        <w:ind w:firstLine="0"/>
        <w:jc w:val="both"/>
      </w:pPr>
      <w:r>
        <w:rPr>
          <w:rFonts w:ascii="Times New Roman" w:hAnsi="Times New Roman" w:cs="Times New Roman" w:eastAsia="Times New Roman"/>
          <w:b/>
          <w:sz w:val="24"/>
        </w:rPr>
        <w:t>Non è insieme vuoto verificato**, perché **l'insieme non è vuoto: il documento esiste e se ne conosce la lunghezza — due pagine per il secondo.</w:t>
      </w:r>
    </w:p>
    <w:p>
      <w:pPr>
        <w:spacing w:line="276" w:lineRule="auto" w:after="0"/>
        <w:ind w:firstLine="0"/>
        <w:jc w:val="both"/>
      </w:pPr>
      <w:r>
        <w:rPr>
          <w:rFonts w:ascii="Times New Roman" w:hAnsi="Times New Roman" w:cs="Times New Roman" w:eastAsia="Times New Roman"/>
          <w:b/>
          <w:sz w:val="24"/>
        </w:rPr>
        <w:t>Che cosa è accaduto, in termini precisi.** **Il documento è pubblicamente disponibile a un lettore umano e inaccessibile a un lettore automatico.** Il server ha respinto il recupero **per rilevamento anti-robot.</w:t>
      </w:r>
    </w:p>
    <w:p>
      <w:pPr>
        <w:spacing w:line="276" w:lineRule="auto" w:after="0"/>
        <w:ind w:firstLine="0"/>
        <w:jc w:val="both"/>
      </w:pPr>
      <w:r>
        <w:rPr>
          <w:rFonts w:ascii="Times New Roman" w:hAnsi="Times New Roman" w:cs="Times New Roman" w:eastAsia="Times New Roman"/>
          <w:b/>
          <w:sz w:val="24"/>
        </w:rPr>
        <w:t>Propongo il decimo grado, e lo denomino la barriera macchinica.</w:t>
      </w:r>
    </w:p>
    <w:p>
      <w:pPr>
        <w:spacing w:line="276" w:lineRule="auto" w:after="0"/>
        <w:ind w:firstLine="0"/>
        <w:jc w:val="both"/>
      </w:pPr>
      <w:r>
        <w:rPr>
          <w:rFonts w:ascii="Times New Roman" w:hAnsi="Times New Roman" w:cs="Times New Roman" w:eastAsia="Times New Roman"/>
          <w:b/>
          <w:sz w:val="24"/>
        </w:rPr>
        <w:t>Definizione: un documento è pubblico, catalogato e indirizzabile, e la sua acquisizione è impedita non da una norma né da una lacuna ma da un dispositivo tecnico che discrimina fra lettori umani e automatici.</w:t>
      </w:r>
    </w:p>
    <w:p>
      <w:pPr>
        <w:spacing w:line="276" w:lineRule="auto" w:after="0"/>
        <w:ind w:firstLine="0"/>
        <w:jc w:val="both"/>
      </w:pPr>
      <w:r>
        <w:rPr>
          <w:rFonts w:ascii="Times New Roman" w:hAnsi="Times New Roman" w:cs="Times New Roman" w:eastAsia="Times New Roman"/>
          <w:b/>
          <w:sz w:val="24"/>
        </w:rPr>
        <w:t>Le sue tre proprietà, che lo distinguono dagli altri nove.</w:t>
      </w:r>
    </w:p>
    <w:p>
      <w:pPr>
        <w:spacing w:line="276" w:lineRule="auto" w:after="0"/>
        <w:ind w:firstLine="425"/>
        <w:jc w:val="both"/>
      </w:pPr>
      <w:r>
        <w:rPr>
          <w:rFonts w:ascii="Times New Roman" w:hAnsi="Times New Roman" w:cs="Times New Roman" w:eastAsia="Times New Roman"/>
          <w:b/>
          <w:sz w:val="24"/>
        </w:rPr>
        <w:t>Prima: è invisibile a chi non tenti l'accesso.</w:t>
      </w:r>
      <w:r>
        <w:rPr>
          <w:rFonts w:ascii="Times New Roman" w:hAnsi="Times New Roman" w:cs="Times New Roman" w:eastAsia="Times New Roman"/>
          <w:b w:val="0"/>
          <w:sz w:val="24"/>
        </w:rPr>
        <w:t xml:space="preserve"> Una ricerca che si fermi alla scheda </w:t>
      </w:r>
      <w:r>
        <w:rPr>
          <w:rFonts w:ascii="Times New Roman" w:hAnsi="Times New Roman" w:cs="Times New Roman" w:eastAsia="Times New Roman"/>
          <w:b/>
          <w:sz w:val="24"/>
        </w:rPr>
        <w:t>non sa di aver fallito</w:t>
      </w:r>
      <w:r>
        <w:rPr>
          <w:rFonts w:ascii="Times New Roman" w:hAnsi="Times New Roman" w:cs="Times New Roman" w:eastAsia="Times New Roman"/>
          <w:b w:val="0"/>
          <w:sz w:val="24"/>
        </w:rPr>
        <w:t>, perché la scheda contiene abbastanza da sembrare un risultato.</w:t>
      </w:r>
    </w:p>
    <w:p>
      <w:pPr>
        <w:spacing w:line="276" w:lineRule="auto" w:after="0"/>
        <w:ind w:firstLine="0"/>
        <w:jc w:val="both"/>
      </w:pPr>
      <w:r>
        <w:rPr>
          <w:rFonts w:ascii="Times New Roman" w:hAnsi="Times New Roman" w:cs="Times New Roman" w:eastAsia="Times New Roman"/>
          <w:b/>
          <w:sz w:val="24"/>
        </w:rPr>
        <w:t>Seconda: è asimmetrico rispetto al ricercatore.** Un umano in una biblioteca aprirebbe quel file in trenta secondi. **La stessa ricerca condotta da uno strumento automatico si arresta.</w:t>
      </w:r>
    </w:p>
    <w:p>
      <w:pPr>
        <w:spacing w:line="276" w:lineRule="auto" w:after="0"/>
        <w:ind w:firstLine="0"/>
        <w:jc w:val="both"/>
      </w:pPr>
      <w:r>
        <w:rPr>
          <w:rFonts w:ascii="Times New Roman" w:hAnsi="Times New Roman" w:cs="Times New Roman" w:eastAsia="Times New Roman"/>
          <w:b/>
          <w:sz w:val="24"/>
        </w:rPr>
        <w:t>Terza, ed è la più importante: non è rimediabile dall'interno del metodo che l'ha incontrata.** Nessuna riformulazione della domanda, nessuna insistenza, nessuna tavola lo scioglie. **Si scioglie soltanto uscendo dal metodo — cioè andando.</w:t>
      </w:r>
    </w:p>
    <w:p>
      <w:pPr>
        <w:spacing w:line="276" w:lineRule="auto" w:after="0"/>
        <w:ind w:firstLine="0"/>
        <w:jc w:val="both"/>
      </w:pPr>
      <w:r>
        <w:rPr>
          <w:rFonts w:ascii="Times New Roman" w:hAnsi="Times New Roman" w:cs="Times New Roman" w:eastAsia="Times New Roman"/>
          <w:b/>
          <w:sz w:val="24"/>
        </w:rPr>
        <w:t>Ne discende una conseguenza che riguarda questa serie intera e che registro senza compiacimento.</w:t>
      </w:r>
    </w:p>
    <w:p>
      <w:pPr>
        <w:spacing w:line="276" w:lineRule="auto" w:after="0"/>
        <w:ind w:firstLine="425"/>
        <w:jc w:val="both"/>
      </w:pPr>
      <w:r>
        <w:rPr>
          <w:rFonts w:ascii="Times New Roman" w:hAnsi="Times New Roman" w:cs="Times New Roman" w:eastAsia="Times New Roman"/>
          <w:b/>
          <w:sz w:val="24"/>
        </w:rPr>
        <w:t>Diciotto ricognizioni hanno prodotto tavole di ciò che andrebbe fatto in archivio. Questa ha scoperto che anche ciò che credeva di poter fare a distanza ha un limite, e che il limite non coincide con quello degli archivi ma con quello dello strumento.</w:t>
      </w:r>
    </w:p>
    <w:p>
      <w:pPr>
        <w:spacing w:line="276" w:lineRule="auto" w:after="0"/>
        <w:ind w:firstLine="0"/>
        <w:jc w:val="both"/>
      </w:pPr>
      <w:r>
        <w:rPr>
          <w:rFonts w:ascii="Times New Roman" w:hAnsi="Times New Roman" w:cs="Times New Roman" w:eastAsia="Times New Roman"/>
          <w:b/>
          <w:sz w:val="24"/>
        </w:rPr>
        <w:t>Capitolo undicesimo — Che cosa questa ricognizione consegna al corpus</w:t>
      </w:r>
    </w:p>
    <w:p>
      <w:pPr>
        <w:spacing w:line="276" w:lineRule="auto" w:after="0"/>
        <w:ind w:firstLine="425"/>
        <w:jc w:val="both"/>
      </w:pPr>
      <w:r>
        <w:rPr>
          <w:rFonts w:ascii="Times New Roman" w:hAnsi="Times New Roman" w:cs="Times New Roman" w:eastAsia="Times New Roman"/>
          <w:b w:val="0"/>
          <w:sz w:val="24"/>
        </w:rPr>
        <w:t>Il capitolo isola i quattro guadagni, perché essi valgono oltre il perimetro.</w:t>
      </w:r>
    </w:p>
    <w:p>
      <w:pPr>
        <w:spacing w:line="276" w:lineRule="auto" w:after="0"/>
        <w:ind w:firstLine="425"/>
        <w:jc w:val="both"/>
      </w:pPr>
      <w:r>
        <w:rPr>
          <w:rFonts w:ascii="Times New Roman" w:hAnsi="Times New Roman" w:cs="Times New Roman" w:eastAsia="Times New Roman"/>
          <w:b/>
          <w:sz w:val="24"/>
        </w:rPr>
        <w:t>Primo guadagno: la correzione alla sedicesima.</w:t>
      </w:r>
      <w:r>
        <w:rPr>
          <w:rFonts w:ascii="Times New Roman" w:hAnsi="Times New Roman" w:cs="Times New Roman" w:eastAsia="Times New Roman"/>
          <w:b w:val="0"/>
          <w:sz w:val="24"/>
        </w:rPr>
        <w:t xml:space="preserve"> La differenza fra Italia e Germania sulla Namibia </w:t>
      </w:r>
      <w:r>
        <w:rPr>
          <w:rFonts w:ascii="Times New Roman" w:hAnsi="Times New Roman" w:cs="Times New Roman" w:eastAsia="Times New Roman"/>
          <w:b/>
          <w:sz w:val="24"/>
        </w:rPr>
        <w:t>non fu soltanto di collocazione ma anche di condotta</w:t>
      </w:r>
      <w:r>
        <w:rPr>
          <w:rFonts w:ascii="Times New Roman" w:hAnsi="Times New Roman" w:cs="Times New Roman" w:eastAsia="Times New Roman"/>
          <w:b w:val="0"/>
          <w:sz w:val="24"/>
        </w:rPr>
        <w:t xml:space="preserve">, e l'inversione va nella direzione contraria all'attesa: </w:t>
      </w:r>
      <w:r>
        <w:rPr>
          <w:rFonts w:ascii="Times New Roman" w:hAnsi="Times New Roman" w:cs="Times New Roman" w:eastAsia="Times New Roman"/>
          <w:b/>
          <w:sz w:val="24"/>
        </w:rPr>
        <w:t>la potenza esclusa votò più avanti di quella inclusa, nella fase 1976-1977.</w:t>
      </w:r>
    </w:p>
    <w:p>
      <w:pPr>
        <w:spacing w:line="276" w:lineRule="auto" w:after="0"/>
        <w:ind w:firstLine="425"/>
        <w:jc w:val="both"/>
      </w:pPr>
      <w:r>
        <w:rPr>
          <w:rFonts w:ascii="Times New Roman" w:hAnsi="Times New Roman" w:cs="Times New Roman" w:eastAsia="Times New Roman"/>
          <w:b/>
          <w:sz w:val="24"/>
        </w:rPr>
        <w:t>Il rilievo generale che se ne trae:</w:t>
      </w:r>
      <w:r>
        <w:rPr>
          <w:rFonts w:ascii="Times New Roman" w:hAnsi="Times New Roman" w:cs="Times New Roman" w:eastAsia="Times New Roman"/>
          <w:b w:val="0"/>
          <w:sz w:val="24"/>
        </w:rPr>
        <w:t xml:space="preserve"> la partecipazione a un consesso negoziale </w:t>
      </w:r>
      <w:r>
        <w:rPr>
          <w:rFonts w:ascii="Times New Roman" w:hAnsi="Times New Roman" w:cs="Times New Roman" w:eastAsia="Times New Roman"/>
          <w:b/>
          <w:sz w:val="24"/>
        </w:rPr>
        <w:t>vincola</w:t>
      </w:r>
      <w:r>
        <w:rPr>
          <w:rFonts w:ascii="Times New Roman" w:hAnsi="Times New Roman" w:cs="Times New Roman" w:eastAsia="Times New Roman"/>
          <w:b w:val="0"/>
          <w:sz w:val="24"/>
        </w:rPr>
        <w:t xml:space="preserve"> il voto; l'esclusione lo </w:t>
      </w:r>
      <w:r>
        <w:rPr>
          <w:rFonts w:ascii="Times New Roman" w:hAnsi="Times New Roman" w:cs="Times New Roman" w:eastAsia="Times New Roman"/>
          <w:b/>
          <w:sz w:val="24"/>
        </w:rPr>
        <w:t>libera.</w:t>
      </w:r>
      <w:r>
        <w:rPr>
          <w:rFonts w:ascii="Times New Roman" w:hAnsi="Times New Roman" w:cs="Times New Roman" w:eastAsia="Times New Roman"/>
          <w:b w:val="0"/>
          <w:sz w:val="24"/>
        </w:rPr>
        <w:t xml:space="preserve"> Chi siede paga in libertà ciò che guadagna in influenza.</w:t>
      </w:r>
    </w:p>
    <w:p>
      <w:pPr>
        <w:spacing w:line="276" w:lineRule="auto" w:after="0"/>
        <w:ind w:firstLine="425"/>
        <w:jc w:val="both"/>
      </w:pPr>
      <w:r>
        <w:rPr>
          <w:rFonts w:ascii="Times New Roman" w:hAnsi="Times New Roman" w:cs="Times New Roman" w:eastAsia="Times New Roman"/>
          <w:b/>
          <w:sz w:val="24"/>
        </w:rPr>
        <w:t>Secondo guadagno: il gemello tedesco del febbraio 1970.</w:t>
      </w:r>
      <w:r>
        <w:rPr>
          <w:rFonts w:ascii="Times New Roman" w:hAnsi="Times New Roman" w:cs="Times New Roman" w:eastAsia="Times New Roman"/>
          <w:b w:val="0"/>
          <w:sz w:val="24"/>
        </w:rPr>
        <w:t xml:space="preserve"> Per la prima volta in diciotto ricognizioni </w:t>
      </w:r>
      <w:r>
        <w:rPr>
          <w:rFonts w:ascii="Times New Roman" w:hAnsi="Times New Roman" w:cs="Times New Roman" w:eastAsia="Times New Roman"/>
          <w:b/>
          <w:sz w:val="24"/>
        </w:rPr>
        <w:t>Roma e Bonn compaiono nel medesimo fascicolo africano con la medesima postura</w:t>
      </w:r>
      <w:r>
        <w:rPr>
          <w:rFonts w:ascii="Times New Roman" w:hAnsi="Times New Roman" w:cs="Times New Roman" w:eastAsia="Times New Roman"/>
          <w:b w:val="0"/>
          <w:sz w:val="24"/>
        </w:rPr>
        <w:t>, a cinque giorni di distanza, contro il medesimo accusatore.</w:t>
      </w:r>
    </w:p>
    <w:p>
      <w:pPr>
        <w:spacing w:line="276" w:lineRule="auto" w:after="0"/>
        <w:ind w:firstLine="0"/>
        <w:jc w:val="both"/>
      </w:pPr>
      <w:r>
        <w:rPr>
          <w:rFonts w:ascii="Times New Roman" w:hAnsi="Times New Roman" w:cs="Times New Roman" w:eastAsia="Times New Roman"/>
          <w:b/>
          <w:sz w:val="24"/>
        </w:rPr>
        <w:t>Non è coordinamento provato. È una simultaneità documentata, e va registrata come tale.</w:t>
      </w:r>
    </w:p>
    <w:p>
      <w:pPr>
        <w:spacing w:line="276" w:lineRule="auto" w:after="0"/>
        <w:ind w:firstLine="425"/>
        <w:jc w:val="both"/>
      </w:pPr>
      <w:r>
        <w:rPr>
          <w:rFonts w:ascii="Times New Roman" w:hAnsi="Times New Roman" w:cs="Times New Roman" w:eastAsia="Times New Roman"/>
          <w:b/>
          <w:sz w:val="24"/>
        </w:rPr>
        <w:t>Terzo guadagno: lo schema del 1974 verificato come grammatica.</w:t>
      </w:r>
      <w:r>
        <w:rPr>
          <w:rFonts w:ascii="Times New Roman" w:hAnsi="Times New Roman" w:cs="Times New Roman" w:eastAsia="Times New Roman"/>
          <w:b w:val="0"/>
          <w:sz w:val="24"/>
        </w:rPr>
        <w:t xml:space="preserve"> L'Italia </w:t>
      </w:r>
      <w:r>
        <w:rPr>
          <w:rFonts w:ascii="Times New Roman" w:hAnsi="Times New Roman" w:cs="Times New Roman" w:eastAsia="Times New Roman"/>
          <w:b/>
          <w:sz w:val="24"/>
        </w:rPr>
        <w:t>sostiene le condanne e si sottrae agli atti di esclusione</w:t>
      </w:r>
      <w:r>
        <w:rPr>
          <w:rFonts w:ascii="Times New Roman" w:hAnsi="Times New Roman" w:cs="Times New Roman" w:eastAsia="Times New Roman"/>
          <w:b w:val="0"/>
          <w:sz w:val="24"/>
        </w:rPr>
        <w:t>, e questa non è tattica occasionale ma regola di condotta, mantenuta almeno dal 1973 al 1977 e poi semplificata in astensione unica dal 1984.</w:t>
      </w:r>
    </w:p>
    <w:p>
      <w:pPr>
        <w:spacing w:line="276" w:lineRule="auto" w:after="0"/>
        <w:ind w:firstLine="425"/>
        <w:jc w:val="both"/>
      </w:pPr>
      <w:r>
        <w:rPr>
          <w:rFonts w:ascii="Times New Roman" w:hAnsi="Times New Roman" w:cs="Times New Roman" w:eastAsia="Times New Roman"/>
          <w:b/>
          <w:sz w:val="24"/>
        </w:rPr>
        <w:t>Quarto guadagno: il decimo grado di Stato Zero</w:t>
      </w:r>
      <w:r>
        <w:rPr>
          <w:rFonts w:ascii="Times New Roman" w:hAnsi="Times New Roman" w:cs="Times New Roman" w:eastAsia="Times New Roman"/>
          <w:b w:val="0"/>
          <w:sz w:val="24"/>
        </w:rPr>
        <w:t>, la barriera macchinica, esposto al capitolo precedente.</w:t>
      </w:r>
    </w:p>
    <w:p>
      <w:pPr>
        <w:spacing w:line="276" w:lineRule="auto" w:after="0"/>
        <w:ind w:firstLine="0"/>
        <w:jc w:val="both"/>
      </w:pPr>
      <w:r>
        <w:rPr>
          <w:rFonts w:ascii="Times New Roman" w:hAnsi="Times New Roman" w:cs="Times New Roman" w:eastAsia="Times New Roman"/>
          <w:b/>
          <w:sz w:val="24"/>
        </w:rPr>
        <w:t>E una acquisizione negativa che vale quanto le positive.</w:t>
      </w:r>
    </w:p>
    <w:p>
      <w:pPr>
        <w:spacing w:line="276" w:lineRule="auto" w:after="0"/>
        <w:ind w:firstLine="0"/>
        <w:jc w:val="both"/>
      </w:pPr>
      <w:r>
        <w:rPr>
          <w:rFonts w:ascii="Times New Roman" w:hAnsi="Times New Roman" w:cs="Times New Roman" w:eastAsia="Times New Roman"/>
          <w:b/>
          <w:sz w:val="24"/>
        </w:rPr>
        <w:t>In diciotto ricognizioni non è emersa una sola risoluzione sull'Africa australe di cui l'Italia fosse proponente.** Votante sì, e in date accertate. **Proponente mai.</w:t>
      </w:r>
    </w:p>
    <w:p>
      <w:pPr>
        <w:spacing w:line="276" w:lineRule="auto" w:after="0"/>
        <w:ind w:firstLine="0"/>
        <w:jc w:val="both"/>
      </w:pPr>
      <w:r>
        <w:rPr>
          <w:rFonts w:ascii="Times New Roman" w:hAnsi="Times New Roman" w:cs="Times New Roman" w:eastAsia="Times New Roman"/>
          <w:b/>
          <w:sz w:val="24"/>
        </w:rPr>
        <w:t>Se la verifica sui progetti di risoluzione lo confermasse, esso descriverebbe con esattezza la posizione italiana su quel dossier per l'intero periodo: presente al voto, assente all'iniziativa.</w:t>
      </w:r>
    </w:p>
    <w:p>
      <w:pPr>
        <w:spacing w:line="276" w:lineRule="auto" w:after="0"/>
        <w:ind w:firstLine="0"/>
        <w:jc w:val="both"/>
      </w:pPr>
      <w:r>
        <w:rPr>
          <w:rFonts w:ascii="Times New Roman" w:hAnsi="Times New Roman" w:cs="Times New Roman" w:eastAsia="Times New Roman"/>
          <w:b/>
          <w:sz w:val="24"/>
        </w:rPr>
        <w:t>Un ultimo rilievo, sul rapporto fra le due voci eseguite.</w:t>
      </w:r>
    </w:p>
    <w:p>
      <w:pPr>
        <w:spacing w:line="276" w:lineRule="auto" w:after="0"/>
        <w:ind w:firstLine="0"/>
        <w:jc w:val="both"/>
      </w:pPr>
      <w:r>
        <w:rPr>
          <w:rFonts w:ascii="Times New Roman" w:hAnsi="Times New Roman" w:cs="Times New Roman" w:eastAsia="Times New Roman"/>
          <w:b/>
          <w:sz w:val="24"/>
        </w:rPr>
        <w:t>La voce che avevo giudicato più facile — le due lettere, condizione di chiusura meramente tecnica — è fallita.</w:t>
      </w:r>
    </w:p>
    <w:p>
      <w:pPr>
        <w:spacing w:line="276" w:lineRule="auto" w:after="0"/>
        <w:ind w:firstLine="0"/>
        <w:jc w:val="both"/>
      </w:pPr>
      <w:r>
        <w:rPr>
          <w:rFonts w:ascii="Times New Roman" w:hAnsi="Times New Roman" w:cs="Times New Roman" w:eastAsia="Times New Roman"/>
          <w:b/>
          <w:sz w:val="24"/>
        </w:rPr>
        <w:t>La voce che avevo giudicato di rendimento alto ma non massimo — i voti — è riuscita pienamente e ha prodotto la correzione a una ricognizione anteriore.</w:t>
      </w:r>
    </w:p>
    <w:p>
      <w:pPr>
        <w:spacing w:line="276" w:lineRule="auto" w:after="0"/>
        <w:ind w:firstLine="0"/>
        <w:jc w:val="both"/>
      </w:pPr>
      <w:r>
        <w:rPr>
          <w:rFonts w:ascii="Times New Roman" w:hAnsi="Times New Roman" w:cs="Times New Roman" w:eastAsia="Times New Roman"/>
          <w:b/>
          <w:sz w:val="24"/>
        </w:rPr>
        <w:t>Ne discende che la mia stima comparativa era errata in entrambe le direzioni, e che le tavole di rendimento atteso che diciotto ricognizioni hanno compilato andrebbero considerate per quello che sono: congetture di chi non ha ancora provato.</w:t>
      </w:r>
    </w:p>
    <w:p>
      <w:pPr>
        <w:spacing w:line="276" w:lineRule="auto" w:after="0"/>
        <w:ind w:firstLine="0"/>
        <w:jc w:val="both"/>
      </w:pPr>
      <w:r>
        <w:rPr>
          <w:rFonts w:ascii="Times New Roman" w:hAnsi="Times New Roman" w:cs="Times New Roman" w:eastAsia="Times New Roman"/>
          <w:b/>
          <w:sz w:val="24"/>
        </w:rPr>
        <w:t>Capitolo dodicesimo — Verdetto e tavola</w:t>
      </w:r>
    </w:p>
    <w:p>
      <w:pPr>
        <w:spacing w:line="276" w:lineRule="auto" w:after="0"/>
        <w:ind w:firstLine="0"/>
        <w:jc w:val="both"/>
      </w:pPr>
      <w:r>
        <w:rPr>
          <w:rFonts w:ascii="Times New Roman" w:hAnsi="Times New Roman" w:cs="Times New Roman" w:eastAsia="Times New Roman"/>
          <w:b/>
          <w:sz w:val="24"/>
        </w:rPr>
        <w:t>Primo punto: se il testo delle due lettere italiane sia stato reperito e che cosa esso attesti.</w:t>
      </w:r>
    </w:p>
    <w:p>
      <w:pPr>
        <w:spacing w:line="276" w:lineRule="auto" w:after="0"/>
        <w:ind w:firstLine="0"/>
        <w:jc w:val="both"/>
      </w:pPr>
      <w:r>
        <w:rPr>
          <w:rFonts w:ascii="Times New Roman" w:hAnsi="Times New Roman" w:cs="Times New Roman" w:eastAsia="Times New Roman"/>
          <w:b/>
          <w:sz w:val="24"/>
        </w:rPr>
        <w:t>Il corpo non è stato reperito. È stata reperita e verificata la scheda catalografica completa di entrambe: segnatura, data, estensore istituzionale, oggetto ufficiale.</w:t>
      </w:r>
    </w:p>
    <w:p>
      <w:pPr>
        <w:spacing w:line="276" w:lineRule="auto" w:after="0"/>
        <w:ind w:firstLine="0"/>
        <w:jc w:val="both"/>
      </w:pPr>
      <w:r>
        <w:rPr>
          <w:rFonts w:ascii="Times New Roman" w:hAnsi="Times New Roman" w:cs="Times New Roman" w:eastAsia="Times New Roman"/>
          <w:b/>
          <w:sz w:val="24"/>
        </w:rPr>
        <w:t>Ciò che le due lettere attestano, al livello dell'oggetto, è omogeneo: in entrambe l'Italia respinge un'accusa di inosservanza dell'embargo — nel 1970 contro lo Zambia, nel 1980 contro Abdul Minty.</w:t>
      </w:r>
    </w:p>
    <w:p>
      <w:pPr>
        <w:spacing w:line="276" w:lineRule="auto" w:after="0"/>
        <w:ind w:firstLine="425"/>
        <w:jc w:val="both"/>
      </w:pPr>
      <w:r>
        <w:rPr>
          <w:rFonts w:ascii="Times New Roman" w:hAnsi="Times New Roman" w:cs="Times New Roman" w:eastAsia="Times New Roman"/>
          <w:b/>
          <w:sz w:val="24"/>
        </w:rPr>
        <w:t>Un rilievo va aggiunto perché è la lettura che il dato consente.</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A dieci anni di distanza, sotto due regimi giuridici diversi — raccomandato nel 1970, obbligatorio nel 1980 — l'Italia fu accusata due volte della medesima cosa e due volte la negò formalmente.</w:t>
      </w:r>
    </w:p>
    <w:p>
      <w:pPr>
        <w:spacing w:line="276" w:lineRule="auto" w:after="0"/>
        <w:ind w:firstLine="0"/>
        <w:jc w:val="both"/>
      </w:pPr>
      <w:r>
        <w:rPr>
          <w:rFonts w:ascii="Times New Roman" w:hAnsi="Times New Roman" w:cs="Times New Roman" w:eastAsia="Times New Roman"/>
          <w:b/>
          <w:sz w:val="24"/>
        </w:rPr>
        <w:t>Che le accuse fossero fondate o infondate, il documento non lo dice: attesta una negazione, non la verità del negato.</w:t>
      </w:r>
    </w:p>
    <w:p>
      <w:pPr>
        <w:spacing w:line="276" w:lineRule="auto" w:after="0"/>
        <w:ind w:firstLine="0"/>
        <w:jc w:val="both"/>
      </w:pPr>
      <w:r>
        <w:rPr>
          <w:rFonts w:ascii="Times New Roman" w:hAnsi="Times New Roman" w:cs="Times New Roman" w:eastAsia="Times New Roman"/>
          <w:b/>
          <w:sz w:val="24"/>
        </w:rPr>
        <w:t>Secondo punto: se il comportamento di voto configuri regolarità o andamento variabile, e se differisca da quello tedesco.</w:t>
      </w:r>
    </w:p>
    <w:p>
      <w:pPr>
        <w:spacing w:line="276" w:lineRule="auto" w:after="0"/>
        <w:ind w:firstLine="0"/>
        <w:jc w:val="both"/>
      </w:pPr>
      <w:r>
        <w:rPr>
          <w:rFonts w:ascii="Times New Roman" w:hAnsi="Times New Roman" w:cs="Times New Roman" w:eastAsia="Times New Roman"/>
          <w:b/>
          <w:sz w:val="24"/>
        </w:rPr>
        <w:t>Regolarità con evoluzione.** Lo schema del 1974 — resistenza sul procedurale, adesione sul sostanziale — **è grammatica e non episodio**, verificato dal 1973 al 1977; **si semplifica dal 1984 in astensione unica.</w:t>
      </w:r>
    </w:p>
    <w:p>
      <w:pPr>
        <w:spacing w:line="276" w:lineRule="auto" w:after="0"/>
        <w:ind w:firstLine="0"/>
        <w:jc w:val="both"/>
      </w:pPr>
      <w:r>
        <w:rPr>
          <w:rFonts w:ascii="Times New Roman" w:hAnsi="Times New Roman" w:cs="Times New Roman" w:eastAsia="Times New Roman"/>
          <w:b/>
          <w:sz w:val="24"/>
        </w:rPr>
        <w:t>Quanto alla Germania: le condotte divergono nella fase 1976-1977, con l'Italia più avanzata su quattro voti; convergono in astensione identica dal 1984 al 1987.</w:t>
      </w:r>
    </w:p>
    <w:p>
      <w:pPr>
        <w:spacing w:line="276" w:lineRule="auto" w:after="0"/>
        <w:ind w:firstLine="0"/>
        <w:jc w:val="both"/>
      </w:pPr>
      <w:r>
        <w:rPr>
          <w:rFonts w:ascii="Times New Roman" w:hAnsi="Times New Roman" w:cs="Times New Roman" w:eastAsia="Times New Roman"/>
          <w:b/>
          <w:sz w:val="24"/>
        </w:rPr>
        <w:t>La tavola, per rendimento atteso.</w:t>
      </w:r>
    </w:p>
    <w:p>
      <w:pPr>
        <w:spacing w:line="276" w:lineRule="auto" w:after="0"/>
        <w:ind w:firstLine="425"/>
        <w:jc w:val="both"/>
      </w:pPr>
      <w:r>
        <w:rPr>
          <w:rFonts w:ascii="Times New Roman" w:hAnsi="Times New Roman" w:cs="Times New Roman" w:eastAsia="Times New Roman"/>
          <w:b/>
          <w:sz w:val="24"/>
        </w:rPr>
        <w:t>Prima, e di massimo rendimento perché ne dipende la comprensione dell'accusa del 1980: il verbale S/AC.20/SR.25 con la dichiarazione di Minty.</w:t>
      </w:r>
      <w:r>
        <w:rPr>
          <w:rFonts w:ascii="Times New Roman" w:hAnsi="Times New Roman" w:cs="Times New Roman" w:eastAsia="Times New Roman"/>
          <w:b w:val="0"/>
          <w:sz w:val="24"/>
        </w:rPr>
        <w:t xml:space="preserve"> Sede: atti del Comitato istituito dalla risoluzione quattrocentoventuno e serie S/AC.20/SR presso la </w:t>
      </w:r>
      <w:r>
        <w:rPr>
          <w:rFonts w:ascii="Times New Roman" w:hAnsi="Times New Roman" w:cs="Times New Roman" w:eastAsia="Times New Roman"/>
          <w:b/>
          <w:sz w:val="24"/>
        </w:rPr>
        <w:t>Dag Hammarskjöld Library.</w:t>
      </w:r>
      <w:r>
        <w:rPr>
          <w:rFonts w:ascii="Times New Roman" w:hAnsi="Times New Roman" w:cs="Times New Roman" w:eastAsia="Times New Roman"/>
          <w:b w:val="0"/>
          <w:sz w:val="24"/>
        </w:rPr>
        <w:t xml:space="preserve"> Condizione: accesso ai documenti a distribuzione ristretta.</w:t>
      </w:r>
    </w:p>
    <w:p>
      <w:pPr>
        <w:spacing w:line="276" w:lineRule="auto" w:after="0"/>
        <w:ind w:firstLine="0"/>
        <w:jc w:val="both"/>
      </w:pPr>
      <w:r>
        <w:rPr>
          <w:rFonts w:ascii="Times New Roman" w:hAnsi="Times New Roman" w:cs="Times New Roman" w:eastAsia="Times New Roman"/>
          <w:b/>
          <w:sz w:val="24"/>
        </w:rPr>
        <w:t>Seconda: i corpi testuali di S/9640 e S/AC.20/27.** Condizione: **superamento della barriera macchinica, cioè accesso manuale o consultazione in sede. Alto rendimento e costo nullo per chi possa andare.</w:t>
      </w:r>
    </w:p>
    <w:p>
      <w:pPr>
        <w:spacing w:line="276" w:lineRule="auto" w:after="0"/>
        <w:ind w:firstLine="425"/>
        <w:jc w:val="both"/>
      </w:pPr>
      <w:r>
        <w:rPr>
          <w:rFonts w:ascii="Times New Roman" w:hAnsi="Times New Roman" w:cs="Times New Roman" w:eastAsia="Times New Roman"/>
          <w:b/>
          <w:sz w:val="24"/>
        </w:rPr>
        <w:t>Terza: il voto italiano sulla risoluzione duemilasettecentosettantacinque del 1971, intitolata Arms embargo</w:t>
      </w:r>
      <w:r>
        <w:rPr>
          <w:rFonts w:ascii="Times New Roman" w:hAnsi="Times New Roman" w:cs="Times New Roman" w:eastAsia="Times New Roman"/>
          <w:b w:val="0"/>
          <w:sz w:val="24"/>
        </w:rPr>
        <w:t>, e sulla serie apartheid della ventinovesima sessione. Sede: schede di voting data dei singoli documenti.</w:t>
      </w:r>
    </w:p>
    <w:p>
      <w:pPr>
        <w:spacing w:line="276" w:lineRule="auto" w:after="0"/>
        <w:ind w:firstLine="0"/>
        <w:jc w:val="both"/>
      </w:pPr>
      <w:r>
        <w:rPr>
          <w:rFonts w:ascii="Times New Roman" w:hAnsi="Times New Roman" w:cs="Times New Roman" w:eastAsia="Times New Roman"/>
          <w:b/>
          <w:sz w:val="24"/>
        </w:rPr>
        <w:t>Quarta: le dichiarazioni esplicative di voto italiane e tedesche**, che sole accerterebbero la ragione dell'inversione del 1976-1977. Sede: verbali plenari della serie A/PV, in particolare **A/31/PV.105.</w:t>
      </w:r>
    </w:p>
    <w:p>
      <w:pPr>
        <w:spacing w:line="276" w:lineRule="auto" w:after="0"/>
        <w:ind w:firstLine="425"/>
        <w:jc w:val="both"/>
      </w:pPr>
      <w:r>
        <w:rPr>
          <w:rFonts w:ascii="Times New Roman" w:hAnsi="Times New Roman" w:cs="Times New Roman" w:eastAsia="Times New Roman"/>
          <w:b/>
          <w:sz w:val="24"/>
        </w:rPr>
        <w:t>Quinta: l'elenco dei co-proponenti</w:t>
      </w:r>
      <w:r>
        <w:rPr>
          <w:rFonts w:ascii="Times New Roman" w:hAnsi="Times New Roman" w:cs="Times New Roman" w:eastAsia="Times New Roman"/>
          <w:b w:val="0"/>
          <w:sz w:val="24"/>
        </w:rPr>
        <w:t>, per verificare se l'Italia sia mai stata promotrice e non solo votante. Sede: progetti di risoluzione della serie A con suffisso L.</w:t>
      </w:r>
    </w:p>
    <w:p>
      <w:pPr>
        <w:spacing w:line="276" w:lineRule="auto" w:after="0"/>
        <w:ind w:firstLine="0"/>
        <w:jc w:val="both"/>
      </w:pPr>
      <w:r>
        <w:rPr>
          <w:rFonts w:ascii="Times New Roman" w:hAnsi="Times New Roman" w:cs="Times New Roman" w:eastAsia="Times New Roman"/>
          <w:b/>
          <w:sz w:val="24"/>
        </w:rPr>
        <w:t>E una osservazione conclusiva.</w:t>
      </w:r>
    </w:p>
    <w:p>
      <w:pPr>
        <w:spacing w:line="276" w:lineRule="auto" w:after="0"/>
        <w:ind w:firstLine="0"/>
        <w:jc w:val="both"/>
      </w:pPr>
      <w:r>
        <w:rPr>
          <w:rFonts w:ascii="Times New Roman" w:hAnsi="Times New Roman" w:cs="Times New Roman" w:eastAsia="Times New Roman"/>
          <w:b/>
          <w:sz w:val="24"/>
        </w:rPr>
        <w:t>Questa è la prima ricognizione della serie che non abbia cercato un fatto nuovo ma abbia eseguito un compito che io stesso mi ero assegnato e non avevo svolto.</w:t>
      </w:r>
    </w:p>
    <w:p>
      <w:pPr>
        <w:spacing w:line="276" w:lineRule="auto" w:after="0"/>
        <w:ind w:firstLine="0"/>
        <w:jc w:val="both"/>
      </w:pPr>
      <w:r>
        <w:rPr>
          <w:rFonts w:ascii="Times New Roman" w:hAnsi="Times New Roman" w:cs="Times New Roman" w:eastAsia="Times New Roman"/>
          <w:b/>
          <w:sz w:val="24"/>
        </w:rPr>
        <w:t>Ha prodotto una correzione a una ricognizione anteriore, una scoperta che non cercava, e un grado nuovo nella scala degli Stati Zero.</w:t>
      </w:r>
    </w:p>
    <w:p>
      <w:pPr>
        <w:spacing w:line="276" w:lineRule="auto" w:after="0"/>
        <w:ind w:firstLine="0"/>
        <w:jc w:val="both"/>
      </w:pPr>
      <w:r>
        <w:rPr>
          <w:rFonts w:ascii="Times New Roman" w:hAnsi="Times New Roman" w:cs="Times New Roman" w:eastAsia="Times New Roman"/>
          <w:b/>
          <w:sz w:val="24"/>
        </w:rPr>
        <w:t>Ne traggo che le tavole non servono a documentare l'incompiuto: servono a essere eseguite, e che un'opera che ne accumuli diciotto senza tornarci sopra sta scambiando il catalogo del lavoro per il lavoro.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L'Italia alle Nazioni Unite: embargo, apartheid, Namibia — diciottesima ricognizione</dc:title>
  <dc:subject>Dodici Capitoli. L'inversione del 1976-1977. Decimo grado di Stato Zero: la barriera macchinica.</dc:subject>
  <dc:creator>Luigi De Michele</dc:creator>
  <cp:keywords/>
  <dc:description>generated by python-docx</dc:description>
  <cp:lastModifiedBy/>
  <cp:revision>1</cp:revision>
  <dcterms:created xsi:type="dcterms:W3CDTF">2013-12-23T23:15:00Z</dcterms:created>
  <dcterms:modified xsi:type="dcterms:W3CDTF">2013-12-23T23:15:00Z</dcterms:modified>
  <cp:category/>
</cp:coreProperties>
</file>