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before="0"/>
        <w:jc w:val="both"/>
      </w:pPr>
    </w:p>
    <w:p>
      <w:pPr>
        <w:spacing w:line="276" w:lineRule="auto" w:after="120" w:before="0"/>
        <w:jc w:val="both"/>
      </w:pPr>
    </w:p>
    <w:p>
      <w:pPr>
        <w:spacing w:line="276" w:lineRule="auto" w:after="120" w:before="0"/>
        <w:jc w:val="both"/>
      </w:pPr>
    </w:p>
    <w:p>
      <w:pPr>
        <w:spacing w:line="276" w:lineRule="auto" w:after="120" w:before="0"/>
        <w:jc w:val="both"/>
      </w:pPr>
    </w:p>
    <w:p>
      <w:pPr>
        <w:spacing w:line="276" w:lineRule="auto" w:after="200" w:before="0"/>
        <w:jc w:val="center"/>
      </w:pPr>
      <w:r>
        <w:rPr>
          <w:rFonts w:ascii="Times New Roman" w:hAnsi="Times New Roman" w:cs="Times New Roman" w:eastAsia="Times New Roman"/>
          <w:b/>
          <w:i w:val="0"/>
          <w:sz w:val="44"/>
        </w:rPr>
        <w:t>ITALIA NERA</w:t>
      </w:r>
    </w:p>
    <w:p>
      <w:pPr>
        <w:spacing w:line="276" w:lineRule="auto" w:after="280" w:before="0"/>
        <w:jc w:val="center"/>
      </w:pPr>
      <w:r>
        <w:rPr>
          <w:rFonts w:ascii="Times New Roman" w:hAnsi="Times New Roman" w:cs="Times New Roman" w:eastAsia="Times New Roman"/>
          <w:b/>
          <w:i w:val="0"/>
          <w:sz w:val="30"/>
        </w:rPr>
        <w:t>CAMERA ISTRUTTORIA DI RACCORDO</w:t>
      </w:r>
    </w:p>
    <w:p>
      <w:pPr>
        <w:spacing w:line="276" w:lineRule="auto" w:after="480" w:before="0"/>
        <w:jc w:val="center"/>
      </w:pPr>
      <w:r>
        <w:rPr>
          <w:rFonts w:ascii="Times New Roman" w:hAnsi="Times New Roman" w:cs="Times New Roman" w:eastAsia="Times New Roman"/>
          <w:b w:val="0"/>
          <w:i/>
          <w:sz w:val="24"/>
        </w:rPr>
        <w:t>Cinquanta blocchi di aggiudicazione del materiale conferito: biforcazione delle filiere eversive, caso Moro, Badalamenti e Impastato, canali finanziari, assenze verificate</w:t>
      </w:r>
    </w:p>
    <w:p>
      <w:pPr>
        <w:spacing w:line="276" w:lineRule="auto" w:after="120" w:before="0"/>
        <w:jc w:val="center"/>
      </w:pPr>
      <w:r>
        <w:rPr>
          <w:rFonts w:ascii="Times New Roman" w:hAnsi="Times New Roman" w:cs="Times New Roman" w:eastAsia="Times New Roman"/>
          <w:b w:val="0"/>
          <w:i w:val="0"/>
          <w:sz w:val="24"/>
        </w:rPr>
        <w:t>Registro Unico Federato — Sezione autonoma</w:t>
      </w:r>
    </w:p>
    <w:p>
      <w:pPr>
        <w:spacing w:line="276" w:lineRule="auto" w:after="120" w:before="0"/>
        <w:jc w:val="center"/>
      </w:pPr>
      <w:r>
        <w:rPr>
          <w:rFonts w:ascii="Times New Roman" w:hAnsi="Times New Roman" w:cs="Times New Roman" w:eastAsia="Times New Roman"/>
          <w:b/>
          <w:i w:val="0"/>
          <w:sz w:val="24"/>
        </w:rPr>
        <w:t>Luigi De Michele</w:t>
      </w:r>
    </w:p>
    <w:p>
      <w:pPr>
        <w:spacing w:line="276" w:lineRule="auto" w:after="600" w:before="0"/>
        <w:jc w:val="center"/>
      </w:pPr>
      <w:r>
        <w:rPr>
          <w:rFonts w:ascii="Times New Roman" w:hAnsi="Times New Roman" w:cs="Times New Roman" w:eastAsia="Times New Roman"/>
          <w:b w:val="0"/>
          <w:i w:val="0"/>
          <w:sz w:val="24"/>
        </w:rPr>
        <w:t>Agosto duemilaventisei</w:t>
      </w:r>
    </w:p>
    <w:p>
      <w:pPr>
        <w:spacing w:line="276" w:lineRule="auto" w:after="160" w:before="0"/>
        <w:jc w:val="center"/>
      </w:pPr>
      <w:r>
        <w:rPr>
          <w:rFonts w:ascii="Times New Roman" w:hAnsi="Times New Roman" w:cs="Times New Roman" w:eastAsia="Times New Roman"/>
          <w:b/>
          <w:i w:val="0"/>
          <w:sz w:val="24"/>
        </w:rPr>
        <w:t>Nota di edizione</w:t>
      </w:r>
    </w:p>
    <w:p>
      <w:pPr>
        <w:spacing w:line="276" w:lineRule="auto" w:after="160" w:before="0"/>
        <w:ind w:firstLine="425"/>
        <w:jc w:val="both"/>
      </w:pPr>
      <w:r>
        <w:rPr>
          <w:rFonts w:ascii="Times New Roman" w:hAnsi="Times New Roman" w:cs="Times New Roman" w:eastAsia="Times New Roman"/>
          <w:b w:val="0"/>
          <w:i w:val="0"/>
          <w:sz w:val="22"/>
        </w:rPr>
        <w:t>La presente sezione si costituisce come Camera Istruttoria e non come registro descrittivo: essa aggiudica il materiale conferito prima di federarlo. Nessuna interrogazione in rete e stata effettuata. Il materiale conferito comprende elaborazioni di sintesi che non costituiscono fonti nel senso del registro, in applicazione della regola secondo cui i prodotti del lavoro non sono fonti del lavoro: il grado compete alla fonte indicata e mai all'elaborazione che la indica. Ogni asserzione reca il proprio grado secondo il Sistema Savona; le assenze sono dichiarate secondo la Scala degli Stati Zero. Per le persone viventi si applica la disciplina rafforzata a tre situazioni enunciata al blocco terzo, con divieto assoluto di inferenza dalla contiguita e con registrazione delle assoluzioni definitive come dato acquisito. Le esclusioni sono dichiarate e motivate al blocco quarantasettesimo. Le correzioni ad acquisizioni precedenti del ciclo sono dichiarate al blocco quarantanovesimo.</w:t>
      </w:r>
    </w:p>
    <w:p>
      <w:r>
        <w:br w:type="page"/>
      </w:r>
    </w:p>
    <w:p>
      <w:pPr>
        <w:spacing w:line="276" w:lineRule="auto" w:after="160" w:before="240"/>
        <w:jc w:val="left"/>
      </w:pPr>
      <w:r>
        <w:rPr>
          <w:rFonts w:ascii="Times New Roman" w:hAnsi="Times New Roman" w:cs="Times New Roman" w:eastAsia="Times New Roman"/>
          <w:b/>
          <w:i w:val="0"/>
          <w:sz w:val="26"/>
        </w:rPr>
        <w:t>Blocco I — Natura del materiale conferito e statuto della presente Camera Istruttoria</w:t>
      </w:r>
    </w:p>
    <w:p>
      <w:pPr>
        <w:spacing w:line="276" w:lineRule="auto" w:after="120" w:before="0"/>
        <w:ind w:firstLine="425"/>
        <w:jc w:val="both"/>
      </w:pPr>
      <w:r>
        <w:rPr>
          <w:rFonts w:ascii="Times New Roman" w:hAnsi="Times New Roman" w:cs="Times New Roman" w:eastAsia="Times New Roman"/>
          <w:b w:val="0"/>
          <w:i w:val="0"/>
          <w:sz w:val="24"/>
        </w:rPr>
        <w:t>Il materiale conferito in questa sessione non e omogeneo quanto a provenienza e a qualita probatoria, e la presente sezione si costituisce percio come Camera Istruttoria e non come registro descrittivo: essa aggiudica il materiale prima di federarlo, e la sua funzione principale e stabilire cosa entri nel Registro Unico, a quale grado, e cosa ne resti escluso.</w:t>
      </w:r>
    </w:p>
    <w:p>
      <w:pPr>
        <w:spacing w:line="276" w:lineRule="auto" w:after="120" w:before="0"/>
        <w:ind w:firstLine="425"/>
        <w:jc w:val="both"/>
      </w:pPr>
      <w:r>
        <w:rPr>
          <w:rFonts w:ascii="Times New Roman" w:hAnsi="Times New Roman" w:cs="Times New Roman" w:eastAsia="Times New Roman"/>
          <w:b w:val="0"/>
          <w:i w:val="0"/>
          <w:sz w:val="24"/>
        </w:rPr>
        <w:t>Vanno distinte tre classi. La prima e costituita da ricostruzioni di sintesi prodotte da sistemi di elaborazione, riconoscibili dalla struttura argomentativa e, in un caso, da residui di marcatura interna di citazione rimasti nel testo. La seconda e costituita da materiale biografico e cronachistico su figure della criminalita organizzata italoamericana e britannica. La terza e costituita da un rapporto di analisi in undici capitoli sul caso Moro e sulle strutture eversive italiane.</w:t>
      </w:r>
    </w:p>
    <w:p>
      <w:pPr>
        <w:spacing w:line="276" w:lineRule="auto" w:after="120" w:before="0"/>
        <w:ind w:firstLine="425"/>
        <w:jc w:val="both"/>
      </w:pPr>
      <w:r>
        <w:rPr>
          <w:rFonts w:ascii="Times New Roman" w:hAnsi="Times New Roman" w:cs="Times New Roman" w:eastAsia="Times New Roman"/>
          <w:b w:val="0"/>
          <w:i w:val="0"/>
          <w:sz w:val="24"/>
        </w:rPr>
        <w:t>Nessuna delle tre classi costituisce fonte nel senso del registro. Tutte e tre costituiscono elaborazioni che possono contenere, e in larga parte contengono, indicazioni verso fonti reali; ma l'indicazione non e la fonte, e il grado va attribuito alla fonte indicata e non all'elaborazione che la indica. Questa e l'applicazione al caso della regola secondo cui i prodotti del lavoro non sono fonti del lavoro.</w:t>
      </w:r>
    </w:p>
    <w:p>
      <w:pPr>
        <w:spacing w:line="276" w:lineRule="auto" w:after="120" w:before="0"/>
        <w:ind w:firstLine="425"/>
        <w:jc w:val="both"/>
      </w:pPr>
      <w:r>
        <w:rPr>
          <w:rFonts w:ascii="Times New Roman" w:hAnsi="Times New Roman" w:cs="Times New Roman" w:eastAsia="Times New Roman"/>
          <w:b w:val="0"/>
          <w:i w:val="0"/>
          <w:sz w:val="24"/>
        </w:rPr>
        <w:t xml:space="preserve">La sezione procede percio per adiudicazione analitica: per ciascun nodo si stabilisce se esso rinvii a un accertamento verificabile, e in tal caso lo si acquisisce al grado che compete a quell'accertamento, oppure se esso costituisca inferenza dell'elaborazione, e in tal caso lo si colloca al grado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xml:space="preserve"> o lo si respinge.</w:t>
      </w:r>
    </w:p>
    <w:p>
      <w:pPr>
        <w:spacing w:line="276" w:lineRule="auto" w:after="240" w:before="0"/>
        <w:ind w:firstLine="425"/>
        <w:jc w:val="both"/>
      </w:pPr>
      <w:r>
        <w:rPr>
          <w:rFonts w:ascii="Times New Roman" w:hAnsi="Times New Roman" w:cs="Times New Roman" w:eastAsia="Times New Roman"/>
          <w:b w:val="0"/>
          <w:i/>
          <w:sz w:val="22"/>
        </w:rPr>
        <w:t>Sintesi del dato nuovo acquisito: si costituisce la sezione come Camera Istruttoria di aggiudicazione preventiva, e si stabilisce che il grado compete alla fonte indicata e mai all'elaborazione che la indica.</w:t>
      </w:r>
    </w:p>
    <w:p>
      <w:pPr>
        <w:spacing w:line="276" w:lineRule="auto" w:after="160" w:before="240"/>
        <w:jc w:val="left"/>
      </w:pPr>
      <w:r>
        <w:rPr>
          <w:rFonts w:ascii="Times New Roman" w:hAnsi="Times New Roman" w:cs="Times New Roman" w:eastAsia="Times New Roman"/>
          <w:b/>
          <w:i w:val="0"/>
          <w:sz w:val="26"/>
        </w:rPr>
        <w:t>Blocco II — L'artefatto di citazione come marcatore di contaminazione</w:t>
      </w:r>
    </w:p>
    <w:p>
      <w:pPr>
        <w:spacing w:line="276" w:lineRule="auto" w:after="120" w:before="0"/>
        <w:ind w:firstLine="425"/>
        <w:jc w:val="both"/>
      </w:pPr>
      <w:r>
        <w:rPr>
          <w:rFonts w:ascii="Times New Roman" w:hAnsi="Times New Roman" w:cs="Times New Roman" w:eastAsia="Times New Roman"/>
          <w:b w:val="0"/>
          <w:i w:val="0"/>
          <w:sz w:val="24"/>
        </w:rPr>
        <w:t>Il registro rileva, in una porzione del materiale conferito, la presenza di marcatori di citazione in forma numerica non risolta, residui del processo di generazione del testo e non rinvii a documenti consultabili.</w:t>
      </w:r>
    </w:p>
    <w:p>
      <w:pPr>
        <w:spacing w:line="276" w:lineRule="auto" w:after="120" w:before="0"/>
        <w:ind w:firstLine="425"/>
        <w:jc w:val="both"/>
      </w:pPr>
      <w:r>
        <w:rPr>
          <w:rFonts w:ascii="Times New Roman" w:hAnsi="Times New Roman" w:cs="Times New Roman" w:eastAsia="Times New Roman"/>
          <w:b w:val="0"/>
          <w:i w:val="0"/>
          <w:sz w:val="24"/>
        </w:rPr>
        <w:t>Il rilievo non e formale. Un marcatore di citazione non risolto produce, nel lettore, l'impressione di un ancoraggio documentale che non esiste, e trasferisce al testo un credito che nessuna fonte ha conferito. Sul piano dell'Indice di Contaminazione esso e equiparabile a una nota bibliografica falsa: non perche l'affermazione che accompagna sia necessariamente falsa, ma perche essa risulta priva del sostegno che dichiara di avere.</w:t>
      </w:r>
    </w:p>
    <w:p>
      <w:pPr>
        <w:spacing w:line="276" w:lineRule="auto" w:after="120" w:before="0"/>
        <w:ind w:firstLine="425"/>
        <w:jc w:val="both"/>
      </w:pPr>
      <w:r>
        <w:rPr>
          <w:rFonts w:ascii="Times New Roman" w:hAnsi="Times New Roman" w:cs="Times New Roman" w:eastAsia="Times New Roman"/>
          <w:b w:val="0"/>
          <w:i w:val="0"/>
          <w:sz w:val="24"/>
        </w:rPr>
        <w:t xml:space="preserve">Si stabilisce percio una regola operativa per l'intero registro, di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in quanto criterio e non fatto: ogni affermazione accompagnata da marcatore non risolvibile va trattata come affermazione priva di fonte, e collocata al grado che le competerebbe in assenza di qualsiasi riferimento. Se il contenuto e altrimenti riscontrabile, il grado si eleva per effetto del riscontro autonomo e non del marcatore; se non lo e, resta al grado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Il criterio si applica in particolare a due affermazioni del materiale conferito, entrambe relative a canali finanziari romani, che i blocchi quarantatreesimo e quarantaquattresimo trattano in sede propria.</w:t>
      </w:r>
    </w:p>
    <w:p>
      <w:pPr>
        <w:spacing w:line="276" w:lineRule="auto" w:after="240" w:before="0"/>
        <w:ind w:firstLine="425"/>
        <w:jc w:val="both"/>
      </w:pPr>
      <w:r>
        <w:rPr>
          <w:rFonts w:ascii="Times New Roman" w:hAnsi="Times New Roman" w:cs="Times New Roman" w:eastAsia="Times New Roman"/>
          <w:b w:val="0"/>
          <w:i/>
          <w:sz w:val="22"/>
        </w:rPr>
        <w:t>Sintesi del dato nuovo acquisito: si acquisisce come regola operativa del registro l'equiparazione del marcatore di citazione non risolvibile all'assenza di fonte, con divieto di trarne elevazione di grado.</w:t>
      </w:r>
    </w:p>
    <w:p>
      <w:pPr>
        <w:spacing w:line="276" w:lineRule="auto" w:after="160" w:before="240"/>
        <w:jc w:val="left"/>
      </w:pPr>
      <w:r>
        <w:rPr>
          <w:rFonts w:ascii="Times New Roman" w:hAnsi="Times New Roman" w:cs="Times New Roman" w:eastAsia="Times New Roman"/>
          <w:b/>
          <w:i w:val="0"/>
          <w:sz w:val="26"/>
        </w:rPr>
        <w:t>Blocco III — Disciplina rafforzata sulle persone viventi</w:t>
      </w:r>
    </w:p>
    <w:p>
      <w:pPr>
        <w:spacing w:line="276" w:lineRule="auto" w:after="120" w:before="0"/>
        <w:ind w:firstLine="425"/>
        <w:jc w:val="both"/>
      </w:pPr>
      <w:r>
        <w:rPr>
          <w:rFonts w:ascii="Times New Roman" w:hAnsi="Times New Roman" w:cs="Times New Roman" w:eastAsia="Times New Roman"/>
          <w:b w:val="0"/>
          <w:i w:val="0"/>
          <w:sz w:val="24"/>
        </w:rPr>
        <w:t>Il materiale conferito nomina persone viventi in contesti che vanno rigorosamente distinti, e la sezione applica la disciplina nella sua forma piu rigorosa, enunciandola prima di procedere.</w:t>
      </w:r>
    </w:p>
    <w:p>
      <w:pPr>
        <w:spacing w:line="276" w:lineRule="auto" w:after="120" w:before="0"/>
        <w:ind w:firstLine="425"/>
        <w:jc w:val="both"/>
      </w:pPr>
      <w:r>
        <w:rPr>
          <w:rFonts w:ascii="Times New Roman" w:hAnsi="Times New Roman" w:cs="Times New Roman" w:eastAsia="Times New Roman"/>
          <w:b w:val="0"/>
          <w:i w:val="0"/>
          <w:sz w:val="24"/>
        </w:rPr>
        <w:t xml:space="preserve">Va tenuta ferma la distinzione fra tre situazioni. La prima e quella della persona attinta da condanna definitiva per un fatto determinato: il fatto e acquisito al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e va riferito nei termini della sentenza. La seconda e quella della persona presente a un contesto o titolare di una carica in un ambiente in cui altri hanno commesso reati accertati: e acquisita la presenza o la carica, non e acquisito alcunche altro, e in particolare non e ammessa alcuna inferenza dalla contiguita. La terza e quella della persona attinta da dichiarazione di collaboratore non riscontrata: la dichiarazione e acquisita come dichiarazione, il fatto dichiarato resta al grado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Il registro applica inoltre la regola secondo cui l'assoluzione, quando intervenuta, e essa stessa il dato acquisito, e ogni trattazione ulteriore in chiave attributiva e vietata. Cio riguarda in particolare, nel materiale conferito, il procedimento relativo all'omicidio del giornalista Carmine Pecorelli, conclusosi con assoluzioni definitive per gli imputati eccellenti, circostanza che il materiale stesso registra e che il registro ratifica come esito.</w:t>
      </w:r>
    </w:p>
    <w:p>
      <w:pPr>
        <w:spacing w:line="276" w:lineRule="auto" w:after="120" w:before="0"/>
        <w:ind w:firstLine="425"/>
        <w:jc w:val="both"/>
      </w:pPr>
      <w:r>
        <w:rPr>
          <w:rFonts w:ascii="Times New Roman" w:hAnsi="Times New Roman" w:cs="Times New Roman" w:eastAsia="Times New Roman"/>
          <w:b w:val="0"/>
          <w:i w:val="0"/>
          <w:sz w:val="24"/>
        </w:rPr>
        <w:t>Si segnala infine che il materiale conferito contiene, in almeno un punto, l'accostamento fra il nome di una persona vivente titolare di alta carica istituzionale e un fatto di sangue per il quale sono state pronunciate condanne a carico di altri soggetti nominativamente individuati. Il registro acquisisce le condanne e non l'accostamento, e ne dara conto in sede propria.</w:t>
      </w:r>
    </w:p>
    <w:p>
      <w:pPr>
        <w:spacing w:line="276" w:lineRule="auto" w:after="240" w:before="0"/>
        <w:ind w:firstLine="425"/>
        <w:jc w:val="both"/>
      </w:pPr>
      <w:r>
        <w:rPr>
          <w:rFonts w:ascii="Times New Roman" w:hAnsi="Times New Roman" w:cs="Times New Roman" w:eastAsia="Times New Roman"/>
          <w:b w:val="0"/>
          <w:i/>
          <w:sz w:val="22"/>
        </w:rPr>
        <w:t>Sintesi del dato nuovo acquisito: si enuncia la disciplina rafforzata a tre situazioni per le persone viventi, con divieto di inferenza dalla contiguita e con l'assoluzione definitiva registrata come dato acquisito e non come premessa di ulteriore attribuzione.</w:t>
      </w:r>
    </w:p>
    <w:p>
      <w:pPr>
        <w:spacing w:line="276" w:lineRule="auto" w:after="160" w:before="240"/>
        <w:jc w:val="left"/>
      </w:pPr>
      <w:r>
        <w:rPr>
          <w:rFonts w:ascii="Times New Roman" w:hAnsi="Times New Roman" w:cs="Times New Roman" w:eastAsia="Times New Roman"/>
          <w:b/>
          <w:i w:val="0"/>
          <w:sz w:val="26"/>
        </w:rPr>
        <w:t>Blocco IV — Falsificatori designati della sezione</w:t>
      </w:r>
    </w:p>
    <w:p>
      <w:pPr>
        <w:spacing w:line="276" w:lineRule="auto" w:after="120" w:before="0"/>
        <w:ind w:firstLine="425"/>
        <w:jc w:val="both"/>
      </w:pPr>
      <w:r>
        <w:rPr>
          <w:rFonts w:ascii="Times New Roman" w:hAnsi="Times New Roman" w:cs="Times New Roman" w:eastAsia="Times New Roman"/>
          <w:b w:val="0"/>
          <w:i w:val="0"/>
          <w:sz w:val="24"/>
        </w:rPr>
        <w:t>Si designano i falsificatori prima dell'argomento, secondo la prassi.</w:t>
      </w:r>
    </w:p>
    <w:p>
      <w:pPr>
        <w:spacing w:line="276" w:lineRule="auto" w:after="120" w:before="0"/>
        <w:ind w:firstLine="425"/>
        <w:jc w:val="both"/>
      </w:pPr>
      <w:r>
        <w:rPr>
          <w:rFonts w:ascii="Times New Roman" w:hAnsi="Times New Roman" w:cs="Times New Roman" w:eastAsia="Times New Roman"/>
          <w:b w:val="0"/>
          <w:i w:val="0"/>
          <w:sz w:val="24"/>
        </w:rPr>
        <w:t>Per la tesi della biforcazione dell'eversione nera internazionale in due filiere non sovrapposte, che costituisce l'oggetto principale della sezione, il falsificatore designato e la documentazione di un atto operativo congiunto, di un finanziamento incrociato o di una struttura comune fra un esponente della filiera atlantista e uno della filiera antiatlantista nel periodo considerato. La sezione dara conto dello stato del falsificatore al blocco decimo.</w:t>
      </w:r>
    </w:p>
    <w:p>
      <w:pPr>
        <w:spacing w:line="276" w:lineRule="auto" w:after="120" w:before="0"/>
        <w:ind w:firstLine="425"/>
        <w:jc w:val="both"/>
      </w:pPr>
      <w:r>
        <w:rPr>
          <w:rFonts w:ascii="Times New Roman" w:hAnsi="Times New Roman" w:cs="Times New Roman" w:eastAsia="Times New Roman"/>
          <w:b w:val="0"/>
          <w:i w:val="0"/>
          <w:sz w:val="24"/>
        </w:rPr>
        <w:t>Per la tesi della presenza di terze forze nell'agguato di via Fani, il falsificatore designato e la dimostrazione che le anomalie balistiche, testimoniali e logistiche rilevate siano integralmente riconducibili alla dinamica ricostruita dagli esecutori confessi. Il falsificatore e allo stato non soddisfatto per alcune anomalie e soddisfatto per altre, e la sezione le distinguera anziche uniformarle.</w:t>
      </w:r>
    </w:p>
    <w:p>
      <w:pPr>
        <w:spacing w:line="276" w:lineRule="auto" w:after="120" w:before="0"/>
        <w:ind w:firstLine="425"/>
        <w:jc w:val="both"/>
      </w:pPr>
      <w:r>
        <w:rPr>
          <w:rFonts w:ascii="Times New Roman" w:hAnsi="Times New Roman" w:cs="Times New Roman" w:eastAsia="Times New Roman"/>
          <w:b w:val="0"/>
          <w:i w:val="0"/>
          <w:sz w:val="24"/>
        </w:rPr>
        <w:t>Per la tesi dell'esistenza di un canale di riciclaggio fra criminalita organizzata statunitense e istituzioni finanziarie romane, il falsificatore designato e l'assenza di qualsiasi riscontro documentale, bancario o giudiziario a fronte di una fonte unica autobiografica. Il falsificatore risulta allo stato soddisfatto, e il blocco quarantaquattresimo ne trae la conseguenza.</w:t>
      </w:r>
    </w:p>
    <w:p>
      <w:pPr>
        <w:spacing w:line="276" w:lineRule="auto" w:after="240" w:before="0"/>
        <w:ind w:firstLine="425"/>
        <w:jc w:val="both"/>
      </w:pPr>
      <w:r>
        <w:rPr>
          <w:rFonts w:ascii="Times New Roman" w:hAnsi="Times New Roman" w:cs="Times New Roman" w:eastAsia="Times New Roman"/>
          <w:b w:val="0"/>
          <w:i/>
          <w:sz w:val="22"/>
        </w:rPr>
        <w:t>Sintesi del dato nuovo acquisito: si designano tre falsificatori, di cui uno con esito differenziato per componenti e uno gia soddisfatto, con obbligo di trattazione distinta delle componenti anziche di uniformazione.</w:t>
      </w:r>
    </w:p>
    <w:p>
      <w:pPr>
        <w:spacing w:line="276" w:lineRule="auto" w:after="160" w:before="240"/>
        <w:jc w:val="left"/>
      </w:pPr>
      <w:r>
        <w:rPr>
          <w:rFonts w:ascii="Times New Roman" w:hAnsi="Times New Roman" w:cs="Times New Roman" w:eastAsia="Times New Roman"/>
          <w:b/>
          <w:i w:val="0"/>
          <w:sz w:val="26"/>
        </w:rPr>
        <w:t>Blocco V — La regola del contrasto interno applicata al materiale di sintesi</w:t>
      </w:r>
    </w:p>
    <w:p>
      <w:pPr>
        <w:spacing w:line="276" w:lineRule="auto" w:after="120" w:before="0"/>
        <w:ind w:firstLine="425"/>
        <w:jc w:val="both"/>
      </w:pPr>
      <w:r>
        <w:rPr>
          <w:rFonts w:ascii="Times New Roman" w:hAnsi="Times New Roman" w:cs="Times New Roman" w:eastAsia="Times New Roman"/>
          <w:b w:val="0"/>
          <w:i w:val="0"/>
          <w:sz w:val="24"/>
        </w:rPr>
        <w:t>Il materiale conferito presenta una caratteristica ricorrente che va nominata perche condiziona ogni suo utilizzo: esso e argomentativamente coerente. Ogni capitolo converge verso la conclusione enunciata, le eccezioni sono assenti, le fonti citate concordano.</w:t>
      </w:r>
    </w:p>
    <w:p>
      <w:pPr>
        <w:spacing w:line="276" w:lineRule="auto" w:after="120" w:before="0"/>
        <w:ind w:firstLine="425"/>
        <w:jc w:val="both"/>
      </w:pPr>
      <w:r>
        <w:rPr>
          <w:rFonts w:ascii="Times New Roman" w:hAnsi="Times New Roman" w:cs="Times New Roman" w:eastAsia="Times New Roman"/>
          <w:b w:val="0"/>
          <w:i w:val="0"/>
          <w:sz w:val="24"/>
        </w:rPr>
        <w:t>Tale coerenza non e pregio ma sintomo. Un corpus documentale reale relativo a materia contesa presenta sempre discordanze, assoluzioni, ritrattazioni e ipotesi concorrenti; un testo di sintesi che non le presenta non ha risolto le discordanze, le ha omesse. La regola del Pollo di Popper impone di trattare l'assenza di contrasto interno come indizio di selezione e non come indizio di solidita.</w:t>
      </w:r>
    </w:p>
    <w:p>
      <w:pPr>
        <w:spacing w:line="276" w:lineRule="auto" w:after="120" w:before="0"/>
        <w:ind w:firstLine="425"/>
        <w:jc w:val="both"/>
      </w:pPr>
      <w:r>
        <w:rPr>
          <w:rFonts w:ascii="Times New Roman" w:hAnsi="Times New Roman" w:cs="Times New Roman" w:eastAsia="Times New Roman"/>
          <w:b w:val="0"/>
          <w:i w:val="0"/>
          <w:sz w:val="24"/>
        </w:rPr>
        <w:t>Il registro adotta percio, per l'intero materiale conferito, la procedura seguente: per ciascun nodo acquisito si ricerca ed espone la posizione contraria o l'esito divergente, e ove esso esista e sia stato omesso dal materiale, l'omissione e essa stessa registrata. La procedura e applicata in particolare ai blocchi sul caso Moro e sull'omicidio Pecorelli.</w:t>
      </w:r>
    </w:p>
    <w:p>
      <w:pPr>
        <w:spacing w:line="276" w:lineRule="auto" w:after="120" w:before="0"/>
        <w:ind w:firstLine="425"/>
        <w:jc w:val="both"/>
      </w:pPr>
      <w:r>
        <w:rPr>
          <w:rFonts w:ascii="Times New Roman" w:hAnsi="Times New Roman" w:cs="Times New Roman" w:eastAsia="Times New Roman"/>
          <w:b w:val="0"/>
          <w:i w:val="0"/>
          <w:sz w:val="24"/>
        </w:rPr>
        <w:t>Va segnalato che questa procedura ha gia prodotto, nella presente sezione, il rilievo di almeno tre omissioni rilevanti: l'esito assolutorio del procedimento romano e perugino sull'omicidio Pecorelli, che il materiale menziona ma colloca in posizione subordinata rispetto all'affermazione che precede; l'assenza di interrogatorio formale della persona indicata dal collaboratore per il caso di via Fani, che il materiale presenta come effetto di coperture anziche come lacuna; e la natura non giudiziaria dell'attribuzione del falso comunicato.</w:t>
      </w:r>
    </w:p>
    <w:p>
      <w:pPr>
        <w:spacing w:line="276" w:lineRule="auto" w:after="240" w:before="0"/>
        <w:ind w:firstLine="425"/>
        <w:jc w:val="both"/>
      </w:pPr>
      <w:r>
        <w:rPr>
          <w:rFonts w:ascii="Times New Roman" w:hAnsi="Times New Roman" w:cs="Times New Roman" w:eastAsia="Times New Roman"/>
          <w:b w:val="0"/>
          <w:i/>
          <w:sz w:val="22"/>
        </w:rPr>
        <w:t>Sintesi del dato nuovo acquisito: si adotta la ricerca obbligatoria della posizione contraria per ogni nodo del materiale di sintesi, e si registrano tre omissioni rilevanti gia individuate.</w:t>
      </w:r>
    </w:p>
    <w:p>
      <w:pPr>
        <w:spacing w:line="276" w:lineRule="auto" w:after="160" w:before="240"/>
        <w:jc w:val="left"/>
      </w:pPr>
      <w:r>
        <w:rPr>
          <w:rFonts w:ascii="Times New Roman" w:hAnsi="Times New Roman" w:cs="Times New Roman" w:eastAsia="Times New Roman"/>
          <w:b/>
          <w:i w:val="0"/>
          <w:sz w:val="26"/>
        </w:rPr>
        <w:t>Blocco VI — La tesi della biforcazione: enunciazione</w:t>
      </w:r>
    </w:p>
    <w:p>
      <w:pPr>
        <w:spacing w:line="276" w:lineRule="auto" w:after="120" w:before="0"/>
        <w:ind w:firstLine="425"/>
        <w:jc w:val="both"/>
      </w:pPr>
      <w:r>
        <w:rPr>
          <w:rFonts w:ascii="Times New Roman" w:hAnsi="Times New Roman" w:cs="Times New Roman" w:eastAsia="Times New Roman"/>
          <w:b w:val="0"/>
          <w:i w:val="0"/>
          <w:sz w:val="24"/>
        </w:rPr>
        <w:t>Il materiale conferito propone, quale acquisizione centrale, che l'eversione nera internazionale del periodo della guerra fredda non abbia costituito un monolite bensi due filiere ideologicamente e operativamente opposte, e che fra esse non sussistano riscontri operativi.</w:t>
      </w:r>
    </w:p>
    <w:p>
      <w:pPr>
        <w:spacing w:line="276" w:lineRule="auto" w:after="120" w:before="0"/>
        <w:ind w:firstLine="425"/>
        <w:jc w:val="both"/>
      </w:pPr>
      <w:r>
        <w:rPr>
          <w:rFonts w:ascii="Times New Roman" w:hAnsi="Times New Roman" w:cs="Times New Roman" w:eastAsia="Times New Roman"/>
          <w:b w:val="0"/>
          <w:i w:val="0"/>
          <w:sz w:val="24"/>
        </w:rPr>
        <w:t>La prima filiera, qualificata come atlantista e controinsurrezionale, comprende la centrale di Lisbona di Guerin-Serac, gli esponenti di Avanguardia Nazionale e di Ordine Nuovo espatriati nel Cono Sud, la Loggia Propaganda Due nella sua proiezione argentina e il network anticomunista internazionale, e opera in sinergia con i servizi occidentali e con i regimi militari sudamericani e con il regime di Pretoria.</w:t>
      </w:r>
    </w:p>
    <w:p>
      <w:pPr>
        <w:spacing w:line="276" w:lineRule="auto" w:after="120" w:before="0"/>
        <w:ind w:firstLine="425"/>
        <w:jc w:val="both"/>
      </w:pPr>
      <w:r>
        <w:rPr>
          <w:rFonts w:ascii="Times New Roman" w:hAnsi="Times New Roman" w:cs="Times New Roman" w:eastAsia="Times New Roman"/>
          <w:b w:val="0"/>
          <w:i w:val="0"/>
          <w:sz w:val="24"/>
        </w:rPr>
        <w:t>La seconda filiera, qualificata come antiatlantista ed eurasiatista, muove da Jean Thiriart e dal movimento transnazionale degli anni Sessanta, prosegue attraverso l'attivita editoriale di Claudio Mutti e Maurizio Murelli, rifiuta l'alleanza con gli Stati Uniti e con i regimi da essi sostenuti, guarda ai regimi arabi e all'Islam tradizionale, e converge dopo il millenovecentonovantuno sulla Russia e sull'elaborazione di Aleksandr Dugin.</w:t>
      </w:r>
    </w:p>
    <w:p>
      <w:pPr>
        <w:spacing w:line="276" w:lineRule="auto" w:after="120" w:before="0"/>
        <w:ind w:firstLine="425"/>
        <w:jc w:val="both"/>
      </w:pPr>
      <w:r>
        <w:rPr>
          <w:rFonts w:ascii="Times New Roman" w:hAnsi="Times New Roman" w:cs="Times New Roman" w:eastAsia="Times New Roman"/>
          <w:b w:val="0"/>
          <w:i w:val="0"/>
          <w:sz w:val="24"/>
        </w:rPr>
        <w:t>Il registro accoglie la tesi come ipotesi di lavoro di rilievo primario e procede a valutarne separatamente le due componenti, che hanno grado diverso: l'esistenza delle due filiere e la loro divergenza dottrinale e strategica; e l'assenza di sovrapposizione operativa fra esse. La prima componente e trattata ai blocchi settimo, ottavo e nono; la seconda, che e la piu delicata, al blocco decimo.</w:t>
      </w:r>
    </w:p>
    <w:p>
      <w:pPr>
        <w:spacing w:line="276" w:lineRule="auto" w:after="240" w:before="0"/>
        <w:ind w:firstLine="425"/>
        <w:jc w:val="both"/>
      </w:pPr>
      <w:r>
        <w:rPr>
          <w:rFonts w:ascii="Times New Roman" w:hAnsi="Times New Roman" w:cs="Times New Roman" w:eastAsia="Times New Roman"/>
          <w:b w:val="0"/>
          <w:i/>
          <w:sz w:val="22"/>
        </w:rPr>
        <w:t>Sintesi del dato nuovo acquisito: si scompone la tesi della biforcazione nelle sue due componenti, l'esistenza delle filiere e l'assenza di sovrapposizione, e si stabilisce che esse ricevono grado autonomo.</w:t>
      </w:r>
    </w:p>
    <w:p>
      <w:pPr>
        <w:spacing w:line="276" w:lineRule="auto" w:after="160" w:before="240"/>
        <w:jc w:val="left"/>
      </w:pPr>
      <w:r>
        <w:rPr>
          <w:rFonts w:ascii="Times New Roman" w:hAnsi="Times New Roman" w:cs="Times New Roman" w:eastAsia="Times New Roman"/>
          <w:b/>
          <w:i w:val="0"/>
          <w:sz w:val="26"/>
        </w:rPr>
        <w:t>Blocco VII — La prima filiera: composizione e atti documentati</w:t>
      </w:r>
    </w:p>
    <w:p>
      <w:pPr>
        <w:spacing w:line="276" w:lineRule="auto" w:after="120" w:before="0"/>
        <w:ind w:firstLine="425"/>
        <w:jc w:val="both"/>
      </w:pPr>
      <w:r>
        <w:rPr>
          <w:rFonts w:ascii="Times New Roman" w:hAnsi="Times New Roman" w:cs="Times New Roman" w:eastAsia="Times New Roman"/>
          <w:b w:val="0"/>
          <w:i w:val="0"/>
          <w:sz w:val="24"/>
        </w:rPr>
        <w:t xml:space="preserve">L'esistenza della prima filiera e acquisita al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poiche i suoi nodi sono documentati da atti giudiziari, parlamentari e archivistici gia federati al registro nelle sezioni precedenti.</w:t>
      </w:r>
    </w:p>
    <w:p>
      <w:pPr>
        <w:spacing w:line="276" w:lineRule="auto" w:after="120" w:before="0"/>
        <w:ind w:firstLine="425"/>
        <w:jc w:val="both"/>
      </w:pPr>
      <w:r>
        <w:rPr>
          <w:rFonts w:ascii="Times New Roman" w:hAnsi="Times New Roman" w:cs="Times New Roman" w:eastAsia="Times New Roman"/>
          <w:b w:val="0"/>
          <w:i w:val="0"/>
          <w:sz w:val="24"/>
        </w:rPr>
        <w:t>Sono acquisiti: la fondazione della centrale di Lisbona nel millenovecentosessantasei da parte dell'ex ufficiale dell'organizzazione clandestina francese, sotto copertura del regime portoghese e in relazione con apparati informativi occidentali; l'espatrio dei quadri di Avanguardia Nazionale e di Ordine Nuovo dopo il millenovecentosettantasette; la partecipazione di esponenti italiani a consessi anticomunisti internazionali nel Cono Sud; e la presenza di nomi argentini negli elenchi della loggia coperta italiana.</w:t>
      </w:r>
    </w:p>
    <w:p>
      <w:pPr>
        <w:spacing w:line="276" w:lineRule="auto" w:after="120" w:before="0"/>
        <w:ind w:firstLine="425"/>
        <w:jc w:val="both"/>
      </w:pPr>
      <w:r>
        <w:rPr>
          <w:rFonts w:ascii="Times New Roman" w:hAnsi="Times New Roman" w:cs="Times New Roman" w:eastAsia="Times New Roman"/>
          <w:b w:val="0"/>
          <w:i w:val="0"/>
          <w:sz w:val="24"/>
        </w:rPr>
        <w:t>Il tratto che definisce la filiera non e ideologico ma relazionale, e va enunciato con precisione: essa e definita dal rapporto di servizio con apparati statali occidentali e con regimi militari alleati. I suoi membri non condividono una dottrina unitaria, come la sezione metafisica ha gia documentato per la frizione fra cattolicesimo integralista ed evolianesimo pagano; condividono un committente e una funzione.</w:t>
      </w:r>
    </w:p>
    <w:p>
      <w:pPr>
        <w:spacing w:line="276" w:lineRule="auto" w:after="120" w:before="0"/>
        <w:ind w:firstLine="425"/>
        <w:jc w:val="both"/>
      </w:pPr>
      <w:r>
        <w:rPr>
          <w:rFonts w:ascii="Times New Roman" w:hAnsi="Times New Roman" w:cs="Times New Roman" w:eastAsia="Times New Roman"/>
          <w:b w:val="0"/>
          <w:i w:val="0"/>
          <w:sz w:val="24"/>
        </w:rPr>
        <w:t xml:space="preserve">Ne discende la qualificazione corretta della filiera, che il registro adotta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essa non e un movimento politico transnazionale ma una rete di servizio, e la sua coesione va spiegata con la struttura della committenza e non con l'affinita ideologica. La qualificazione e coerente con quanto gia acquisito circa la subalternita agli apparati documentata dalle deposizioni del terrorista reo confesso della strage friulana.</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qualifica al grado </w:t>
      </w:r>
      <w:r>
        <w:rPr>
          <w:rFonts w:ascii="Times New Roman" w:hAnsi="Times New Roman" w:cs="Times New Roman" w:eastAsia="Times New Roman"/>
          <w:b/>
          <w:i/>
          <w:sz w:val="22"/>
        </w:rPr>
        <w:t>B</w:t>
      </w:r>
      <w:r>
        <w:rPr>
          <w:rFonts w:ascii="Times New Roman" w:hAnsi="Times New Roman" w:cs="Times New Roman" w:eastAsia="Times New Roman"/>
          <w:b w:val="0"/>
          <w:i/>
          <w:sz w:val="22"/>
        </w:rPr>
        <w:t xml:space="preserve"> la prima filiera come rete di servizio definita da committenza e funzione anziche da affinita dottrinale, coerentemente con la frizione dottrinale gia documentata al suo interno.</w:t>
      </w:r>
    </w:p>
    <w:p>
      <w:pPr>
        <w:spacing w:line="276" w:lineRule="auto" w:after="160" w:before="240"/>
        <w:jc w:val="left"/>
      </w:pPr>
      <w:r>
        <w:rPr>
          <w:rFonts w:ascii="Times New Roman" w:hAnsi="Times New Roman" w:cs="Times New Roman" w:eastAsia="Times New Roman"/>
          <w:b/>
          <w:i w:val="0"/>
          <w:sz w:val="26"/>
        </w:rPr>
        <w:t>Blocco VIII — La seconda filiera: genealogia e terminale contemporaneo</w:t>
      </w:r>
    </w:p>
    <w:p>
      <w:pPr>
        <w:spacing w:line="276" w:lineRule="auto" w:after="120" w:before="0"/>
        <w:ind w:firstLine="425"/>
        <w:jc w:val="both"/>
      </w:pPr>
      <w:r>
        <w:rPr>
          <w:rFonts w:ascii="Times New Roman" w:hAnsi="Times New Roman" w:cs="Times New Roman" w:eastAsia="Times New Roman"/>
          <w:b w:val="0"/>
          <w:i w:val="0"/>
          <w:sz w:val="24"/>
        </w:rPr>
        <w:t xml:space="preserve">L'esistenza della seconda filiera e acquisita al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quanto ai suoi nodi anagrafici ed editoriali, gia in parte federati al registro nella sezione metafisica.</w:t>
      </w:r>
    </w:p>
    <w:p>
      <w:pPr>
        <w:spacing w:line="276" w:lineRule="auto" w:after="120" w:before="0"/>
        <w:ind w:firstLine="425"/>
        <w:jc w:val="both"/>
      </w:pPr>
      <w:r>
        <w:rPr>
          <w:rFonts w:ascii="Times New Roman" w:hAnsi="Times New Roman" w:cs="Times New Roman" w:eastAsia="Times New Roman"/>
          <w:b w:val="0"/>
          <w:i w:val="0"/>
          <w:sz w:val="24"/>
        </w:rPr>
        <w:t>Sono acquisiti: l'esistenza del movimento transnazionale fondato da Thiriart, con sezione italiana e con formazione ideologica strutturata in scuole quadri; la militanza documentata in essa di Claudio Mutti, responsabile a Parma dal millenovecentosessantaquattro e membro del direttivo italiano, e di altri nominativi; la conversione all'Islam di Mutti e la sua attivita editoriale; e la funzione della filiera guenoniana come ponte verso i contesti musulmani nell'elaborazione eurasiatista.</w:t>
      </w:r>
    </w:p>
    <w:p>
      <w:pPr>
        <w:spacing w:line="276" w:lineRule="auto" w:after="120" w:before="0"/>
        <w:ind w:firstLine="425"/>
        <w:jc w:val="both"/>
      </w:pPr>
      <w:r>
        <w:rPr>
          <w:rFonts w:ascii="Times New Roman" w:hAnsi="Times New Roman" w:cs="Times New Roman" w:eastAsia="Times New Roman"/>
          <w:b w:val="0"/>
          <w:i w:val="0"/>
          <w:sz w:val="24"/>
        </w:rPr>
        <w:t xml:space="preserve">L'incontro fra Thiriart e Dugin a Mosca nel millenovecentonovantadue e acquisito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trattandosi di fatto attestato dalla pubblicistica di area e dalla letteratura specialistica ma non da documentazione primaria.</w:t>
      </w:r>
    </w:p>
    <w:p>
      <w:pPr>
        <w:spacing w:line="276" w:lineRule="auto" w:after="120" w:before="0"/>
        <w:ind w:firstLine="425"/>
        <w:jc w:val="both"/>
      </w:pPr>
      <w:r>
        <w:rPr>
          <w:rFonts w:ascii="Times New Roman" w:hAnsi="Times New Roman" w:cs="Times New Roman" w:eastAsia="Times New Roman"/>
          <w:b w:val="0"/>
          <w:i w:val="0"/>
          <w:sz w:val="24"/>
        </w:rPr>
        <w:t xml:space="preserve">Il terminale contemporaneo indicato dal materiale conferito, relativo a un'associazione culturale lombardo-russa e a una vicenda giudiziaria nota per il luogo dell'incontro, riguarda persone viventi e va trattato secondo la disciplina rafforzata: e acquisito al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il fatto dell'esistenza dell'associazione e delle sue finalita dichiarate; e acquisito al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il fatto dell'esistenza del procedimento e del suo esito, quale esso sia allo stato; non e acquisita alcuna inferenza ulteriore, e in particolare non e acquisita alcuna derivazione dalla filiera storica, che il materiale afferma e non documenta.</w:t>
      </w:r>
    </w:p>
    <w:p>
      <w:pPr>
        <w:spacing w:line="276" w:lineRule="auto" w:after="240" w:before="0"/>
        <w:ind w:firstLine="425"/>
        <w:jc w:val="both"/>
      </w:pPr>
      <w:r>
        <w:rPr>
          <w:rFonts w:ascii="Times New Roman" w:hAnsi="Times New Roman" w:cs="Times New Roman" w:eastAsia="Times New Roman"/>
          <w:b w:val="0"/>
          <w:i/>
          <w:sz w:val="22"/>
        </w:rPr>
        <w:t>Sintesi del dato nuovo acquisito: si acquisisce la genealogia della seconda filiera fino all'incontro moscovita del millenovecentonovantadue, e si esclude l'acquisizione della derivazione fra filiera storica e terminale contemporaneo, non documentata.</w:t>
      </w:r>
    </w:p>
    <w:p>
      <w:pPr>
        <w:spacing w:line="276" w:lineRule="auto" w:after="160" w:before="240"/>
        <w:jc w:val="left"/>
      </w:pPr>
      <w:r>
        <w:rPr>
          <w:rFonts w:ascii="Times New Roman" w:hAnsi="Times New Roman" w:cs="Times New Roman" w:eastAsia="Times New Roman"/>
          <w:b/>
          <w:i w:val="0"/>
          <w:sz w:val="26"/>
        </w:rPr>
        <w:t>Blocco IX — Il criterio di demarcazione fra le filiere</w:t>
      </w:r>
    </w:p>
    <w:p>
      <w:pPr>
        <w:spacing w:line="276" w:lineRule="auto" w:after="120" w:before="0"/>
        <w:ind w:firstLine="425"/>
        <w:jc w:val="both"/>
      </w:pPr>
      <w:r>
        <w:rPr>
          <w:rFonts w:ascii="Times New Roman" w:hAnsi="Times New Roman" w:cs="Times New Roman" w:eastAsia="Times New Roman"/>
          <w:b w:val="0"/>
          <w:i w:val="0"/>
          <w:sz w:val="24"/>
        </w:rPr>
        <w:t>Le due filiere non si distinguono per intensita ideologica, ne per disponibilita alla violenza, ne per collocazione nello spettro della destra radicale. Si distinguono per un solo criterio, che il registro isola come dato analitico principale del blocco: il rapporto con la potenza atlantica.</w:t>
      </w:r>
    </w:p>
    <w:p>
      <w:pPr>
        <w:spacing w:line="276" w:lineRule="auto" w:after="120" w:before="0"/>
        <w:ind w:firstLine="425"/>
        <w:jc w:val="both"/>
      </w:pPr>
      <w:r>
        <w:rPr>
          <w:rFonts w:ascii="Times New Roman" w:hAnsi="Times New Roman" w:cs="Times New Roman" w:eastAsia="Times New Roman"/>
          <w:b w:val="0"/>
          <w:i w:val="0"/>
          <w:sz w:val="24"/>
        </w:rPr>
        <w:t>La prima filiera assume l'anticomunismo come fine e accetta conseguentemente la subordinazione al blocco occidentale come mezzo. La seconda assume l'antimperialismo come fine e considera percio la potenza atlantica come nemico principale, in cio convergendo tatticamente con posizioni della sinistra rivoluzionaria e con regimi non occidentali.</w:t>
      </w:r>
    </w:p>
    <w:p>
      <w:pPr>
        <w:spacing w:line="276" w:lineRule="auto" w:after="120" w:before="0"/>
        <w:ind w:firstLine="425"/>
        <w:jc w:val="both"/>
      </w:pPr>
      <w:r>
        <w:rPr>
          <w:rFonts w:ascii="Times New Roman" w:hAnsi="Times New Roman" w:cs="Times New Roman" w:eastAsia="Times New Roman"/>
          <w:b w:val="0"/>
          <w:i w:val="0"/>
          <w:sz w:val="24"/>
        </w:rPr>
        <w:t xml:space="preserve">Il criterio ha valore predittivo verificabile e va enunciato in forma falsificabile. Data la collocazione di un esponente rispetto all'atlantismo, sono predicibili: il paese di rifugio in caso di latitanza, i consessi internazionali frequentati, l'oggetto della produzione editoriale e, dopo il millenovecentonovantuno, l'orientamento rispetto alla Federazione Russa. Il grado del criterio e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e la verifica sul corpus risulta coerente per tutti i nodi esaminati.</w:t>
      </w:r>
    </w:p>
    <w:p>
      <w:pPr>
        <w:spacing w:line="276" w:lineRule="auto" w:after="120" w:before="0"/>
        <w:ind w:firstLine="425"/>
        <w:jc w:val="both"/>
      </w:pPr>
      <w:r>
        <w:rPr>
          <w:rFonts w:ascii="Times New Roman" w:hAnsi="Times New Roman" w:cs="Times New Roman" w:eastAsia="Times New Roman"/>
          <w:b w:val="0"/>
          <w:i w:val="0"/>
          <w:sz w:val="24"/>
        </w:rPr>
        <w:t>Ne discende una conseguenza sull'architettura del registro: la variabile che struttura il campo dell'eversione nera transnazionale non e collocata nel dominio del terrorismo bensi nel dominio delle relazioni internazionali, e la sezione dedicata va riorganizzata di conseguenza. La proposizione ha portata generale e va applicata retroattivamente.</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isola il rapporto con la potenza atlantica come unico criterio di demarcazione fra le filiere, se ne dimostra al grado </w:t>
      </w:r>
      <w:r>
        <w:rPr>
          <w:rFonts w:ascii="Times New Roman" w:hAnsi="Times New Roman" w:cs="Times New Roman" w:eastAsia="Times New Roman"/>
          <w:b/>
          <w:i/>
          <w:sz w:val="22"/>
        </w:rPr>
        <w:t>B</w:t>
      </w:r>
      <w:r>
        <w:rPr>
          <w:rFonts w:ascii="Times New Roman" w:hAnsi="Times New Roman" w:cs="Times New Roman" w:eastAsia="Times New Roman"/>
          <w:b w:val="0"/>
          <w:i/>
          <w:sz w:val="22"/>
        </w:rPr>
        <w:t xml:space="preserve"> il valore predittivo su quattro variabili, e si colloca la variabile strutturante nel dominio delle relazioni internazionali.</w:t>
      </w:r>
    </w:p>
    <w:p>
      <w:pPr>
        <w:spacing w:line="276" w:lineRule="auto" w:after="160" w:before="240"/>
        <w:jc w:val="left"/>
      </w:pPr>
      <w:r>
        <w:rPr>
          <w:rFonts w:ascii="Times New Roman" w:hAnsi="Times New Roman" w:cs="Times New Roman" w:eastAsia="Times New Roman"/>
          <w:b/>
          <w:i w:val="0"/>
          <w:sz w:val="26"/>
        </w:rPr>
        <w:t>Blocco X — L'assenza di sovrapposizione: valutazione e grado</w:t>
      </w:r>
    </w:p>
    <w:p>
      <w:pPr>
        <w:spacing w:line="276" w:lineRule="auto" w:after="120" w:before="0"/>
        <w:ind w:firstLine="425"/>
        <w:jc w:val="both"/>
      </w:pPr>
      <w:r>
        <w:rPr>
          <w:rFonts w:ascii="Times New Roman" w:hAnsi="Times New Roman" w:cs="Times New Roman" w:eastAsia="Times New Roman"/>
          <w:b w:val="0"/>
          <w:i w:val="0"/>
          <w:sz w:val="24"/>
        </w:rPr>
        <w:t>La seconda componente della tesi, cioe l'assenza di riscontri operativi fra le due filiere, e la piu delicata e riceve trattamento distinto.</w:t>
      </w:r>
    </w:p>
    <w:p>
      <w:pPr>
        <w:spacing w:line="276" w:lineRule="auto" w:after="120" w:before="0"/>
        <w:ind w:firstLine="425"/>
        <w:jc w:val="both"/>
      </w:pPr>
      <w:r>
        <w:rPr>
          <w:rFonts w:ascii="Times New Roman" w:hAnsi="Times New Roman" w:cs="Times New Roman" w:eastAsia="Times New Roman"/>
          <w:b w:val="0"/>
          <w:i w:val="0"/>
          <w:sz w:val="24"/>
        </w:rPr>
        <w:t>Il registro rileva anzitutto un problema di struttura logica: si tratta di un'affermazione negativa universale, e come tale non e dimostrabile per accumulo di osservazioni. Nessuna quantita di ricerche infruttuose prova l'inesistenza del legame; prova soltanto che le ricerche condotte non lo hanno trovato.</w:t>
      </w:r>
    </w:p>
    <w:p>
      <w:pPr>
        <w:spacing w:line="276" w:lineRule="auto" w:after="120" w:before="0"/>
        <w:ind w:firstLine="425"/>
        <w:jc w:val="both"/>
      </w:pPr>
      <w:r>
        <w:rPr>
          <w:rFonts w:ascii="Times New Roman" w:hAnsi="Times New Roman" w:cs="Times New Roman" w:eastAsia="Times New Roman"/>
          <w:b w:val="0"/>
          <w:i w:val="0"/>
          <w:sz w:val="24"/>
        </w:rPr>
        <w:t xml:space="preserve">La qualificazione corretta si ottiene applicando la Scala degli Stati Zero. Non si tratta di impossibilita istituzionale, poiche non esiste un archivio chiuso il cui accesso muterebbe il risultato. Non si tratta di assenza verificata nel senso proprio, poiche non esiste una popolazione finita di atti esaustivamente esaminabile. Si tratta di non reperimento a fronte di ricerca non sistematica, che e categoria intermedia, e il grado corrispondente e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xml:space="preserve">, non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come il materiale conferito lascia intendere.</w:t>
      </w:r>
    </w:p>
    <w:p>
      <w:pPr>
        <w:spacing w:line="276" w:lineRule="auto" w:after="120" w:before="0"/>
        <w:ind w:firstLine="425"/>
        <w:jc w:val="both"/>
      </w:pPr>
      <w:r>
        <w:rPr>
          <w:rFonts w:ascii="Times New Roman" w:hAnsi="Times New Roman" w:cs="Times New Roman" w:eastAsia="Times New Roman"/>
          <w:b w:val="0"/>
          <w:i w:val="0"/>
          <w:sz w:val="24"/>
        </w:rPr>
        <w:t xml:space="preserve">Il registro precisa tuttavia che il grado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xml:space="preserve"> non equivale a sfavore. L'ipotesi e falsificabile, il falsificatore e stato designato al blocco quarto, e allo stato non risulta soddisfatto: non e documentato alcun atto operativo congiunto, alcun finanziamento incrociato, alcuna struttura comune. La proposizione corretta e dunque che la sovrapposizione non e documentata, non che essa sia esclusa; e la distinzione fra le due formulazioni e vincolante.</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declassa al grado </w:t>
      </w:r>
      <w:r>
        <w:rPr>
          <w:rFonts w:ascii="Times New Roman" w:hAnsi="Times New Roman" w:cs="Times New Roman" w:eastAsia="Times New Roman"/>
          <w:b/>
          <w:i/>
          <w:sz w:val="22"/>
        </w:rPr>
        <w:t>C</w:t>
      </w:r>
      <w:r>
        <w:rPr>
          <w:rFonts w:ascii="Times New Roman" w:hAnsi="Times New Roman" w:cs="Times New Roman" w:eastAsia="Times New Roman"/>
          <w:b w:val="0"/>
          <w:i/>
          <w:sz w:val="22"/>
        </w:rPr>
        <w:t xml:space="preserve"> l'assenza di sovrapposizione fra le filiere, qualificandola come non reperimento a fronte di ricerca non sistematica e non come assenza verificata, con falsificatore designato e non soddisfatto.</w:t>
      </w:r>
    </w:p>
    <w:p>
      <w:pPr>
        <w:spacing w:line="276" w:lineRule="auto" w:after="160" w:before="240"/>
        <w:jc w:val="left"/>
      </w:pPr>
      <w:r>
        <w:rPr>
          <w:rFonts w:ascii="Times New Roman" w:hAnsi="Times New Roman" w:cs="Times New Roman" w:eastAsia="Times New Roman"/>
          <w:b/>
          <w:i w:val="0"/>
          <w:sz w:val="26"/>
        </w:rPr>
        <w:t>Blocco XI — Confutazione formale del monolite dell'Internazionale Nera</w:t>
      </w:r>
    </w:p>
    <w:p>
      <w:pPr>
        <w:spacing w:line="276" w:lineRule="auto" w:after="120" w:before="0"/>
        <w:ind w:firstLine="425"/>
        <w:jc w:val="both"/>
      </w:pPr>
      <w:r>
        <w:rPr>
          <w:rFonts w:ascii="Times New Roman" w:hAnsi="Times New Roman" w:cs="Times New Roman" w:eastAsia="Times New Roman"/>
          <w:b w:val="0"/>
          <w:i w:val="0"/>
          <w:sz w:val="24"/>
        </w:rPr>
        <w:t>Si registra fra le confutazioni del progetto la tesi secondo cui l'eversione nera transnazionale del secondo Novecento abbia costituito un attore unitario con direzione, finalita e teatro comuni.</w:t>
      </w:r>
    </w:p>
    <w:p>
      <w:pPr>
        <w:spacing w:line="276" w:lineRule="auto" w:after="120" w:before="0"/>
        <w:ind w:firstLine="425"/>
        <w:jc w:val="both"/>
      </w:pPr>
      <w:r>
        <w:rPr>
          <w:rFonts w:ascii="Times New Roman" w:hAnsi="Times New Roman" w:cs="Times New Roman" w:eastAsia="Times New Roman"/>
          <w:b w:val="0"/>
          <w:i w:val="0"/>
          <w:sz w:val="24"/>
        </w:rPr>
        <w:t xml:space="preserve">La confutazione poggia su elementi gia acquisiti e non su nuove fonti. Sul piano dottrinale, la sezione metafisica ha documentato al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la frizione irriducibile fra cattolicesimo integralista ed evolianesimo pagano all'interno della sola prima filiera. Sul piano strategico, il presente blocco documenta la divergenza fra le due filiere sul rapporto con l'atlantismo. Sul piano operativo, la sezione sulla diaspora ha documentato che i teatri di rifugio si distribuirono secondo criteri di opportunita e non di appartenenza. Il grado della confutazione e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Il rendimento della confutazione va enunciato perche non e distruttivo. Cadendo l'attore unitario, non cade alcuno dei fatti documentati: le stragi, gli espatri, i consessi internazionali e le protezioni restano acquisiti uno per uno. Cio che cade e la spiegazione che li riconduceva a un progetto unico, e la sua caduta impone di ricercare per ciascun fatto la propria committenza specifica, il che aumenta e non diminuisce l'onere della ricerca.</w:t>
      </w:r>
    </w:p>
    <w:p>
      <w:pPr>
        <w:spacing w:line="276" w:lineRule="auto" w:after="120" w:before="0"/>
        <w:ind w:firstLine="425"/>
        <w:jc w:val="both"/>
      </w:pPr>
      <w:r>
        <w:rPr>
          <w:rFonts w:ascii="Times New Roman" w:hAnsi="Times New Roman" w:cs="Times New Roman" w:eastAsia="Times New Roman"/>
          <w:b w:val="0"/>
          <w:i w:val="0"/>
          <w:sz w:val="24"/>
        </w:rPr>
        <w:t>Il registro rileva l'identita strutturale fra questa confutazione e quella della sigla unica dell'esfiltrazione registrata nella sezione sulla diaspora: in entrambi i casi cade l'agente unificato e resta il fenomeno; in entrambi i casi la caduta sposta la responsabilita dal clandestino postulato all'istituzionale documentato.</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registra al grado </w:t>
      </w:r>
      <w:r>
        <w:rPr>
          <w:rFonts w:ascii="Times New Roman" w:hAnsi="Times New Roman" w:cs="Times New Roman" w:eastAsia="Times New Roman"/>
          <w:b/>
          <w:i/>
          <w:sz w:val="22"/>
        </w:rPr>
        <w:t>B</w:t>
      </w:r>
      <w:r>
        <w:rPr>
          <w:rFonts w:ascii="Times New Roman" w:hAnsi="Times New Roman" w:cs="Times New Roman" w:eastAsia="Times New Roman"/>
          <w:b w:val="0"/>
          <w:i/>
          <w:sz w:val="22"/>
        </w:rPr>
        <w:t xml:space="preserve"> la confutazione del monolite dell'Internazionale Nera su tre piani distinti, e se ne rileva l'identita strutturale con la confutazione della sigla unica dell'esfiltrazione.</w:t>
      </w:r>
    </w:p>
    <w:p>
      <w:pPr>
        <w:spacing w:line="276" w:lineRule="auto" w:after="160" w:before="240"/>
        <w:jc w:val="left"/>
      </w:pPr>
      <w:r>
        <w:rPr>
          <w:rFonts w:ascii="Times New Roman" w:hAnsi="Times New Roman" w:cs="Times New Roman" w:eastAsia="Times New Roman"/>
          <w:b/>
          <w:i w:val="0"/>
          <w:sz w:val="26"/>
        </w:rPr>
        <w:t>Blocco XII — Correzione al criterio formulato nella sezione metafisica</w:t>
      </w:r>
    </w:p>
    <w:p>
      <w:pPr>
        <w:spacing w:line="276" w:lineRule="auto" w:after="120" w:before="0"/>
        <w:ind w:firstLine="425"/>
        <w:jc w:val="both"/>
      </w:pPr>
      <w:r>
        <w:rPr>
          <w:rFonts w:ascii="Times New Roman" w:hAnsi="Times New Roman" w:cs="Times New Roman" w:eastAsia="Times New Roman"/>
          <w:b w:val="0"/>
          <w:i w:val="0"/>
          <w:sz w:val="24"/>
        </w:rPr>
        <w:t>Il registro procede a correzione di una propria acquisizione precedente, in applicazione del principio secondo cui la revisione va dichiarata e non operata tacitamente.</w:t>
      </w:r>
    </w:p>
    <w:p>
      <w:pPr>
        <w:spacing w:line="276" w:lineRule="auto" w:after="120" w:before="0"/>
        <w:ind w:firstLine="425"/>
        <w:jc w:val="both"/>
      </w:pPr>
      <w:r>
        <w:rPr>
          <w:rFonts w:ascii="Times New Roman" w:hAnsi="Times New Roman" w:cs="Times New Roman" w:eastAsia="Times New Roman"/>
          <w:b w:val="0"/>
          <w:i w:val="0"/>
          <w:sz w:val="24"/>
        </w:rPr>
        <w:t xml:space="preserve">La sezione metafisica aveva formulato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sulla base della divergenza dottrinale fra Guenon ed Evola circa il rapporto fra casta sacerdotale e casta guerriera, il criterio diagnostico secondo cui nelle strutture a prevalenza guenoniana ci si attende produzione editoriale e scarsa operativita, e nelle strutture a prevalenza evoliana operativita.</w:t>
      </w:r>
    </w:p>
    <w:p>
      <w:pPr>
        <w:spacing w:line="276" w:lineRule="auto" w:after="120" w:before="0"/>
        <w:ind w:firstLine="425"/>
        <w:jc w:val="both"/>
      </w:pPr>
      <w:r>
        <w:rPr>
          <w:rFonts w:ascii="Times New Roman" w:hAnsi="Times New Roman" w:cs="Times New Roman" w:eastAsia="Times New Roman"/>
          <w:b w:val="0"/>
          <w:i w:val="0"/>
          <w:sz w:val="24"/>
        </w:rPr>
        <w:t>Il materiale conferito falsifica parzialmente tale criterio. La filiera guenoniana italiana non risulta quietista: risulta editorialmente attiva, politicamente orientata e capace di produrre effetti nel lungo periodo attraverso l'importazione di un'elaborazione geopolitica straniera. Cio che essa non produce e violenza diretta, il che e proposizione diversa da inattivita.</w:t>
      </w:r>
    </w:p>
    <w:p>
      <w:pPr>
        <w:spacing w:line="276" w:lineRule="auto" w:after="120" w:before="0"/>
        <w:ind w:firstLine="425"/>
        <w:jc w:val="both"/>
      </w:pPr>
      <w:r>
        <w:rPr>
          <w:rFonts w:ascii="Times New Roman" w:hAnsi="Times New Roman" w:cs="Times New Roman" w:eastAsia="Times New Roman"/>
          <w:b w:val="0"/>
          <w:i w:val="0"/>
          <w:sz w:val="24"/>
        </w:rPr>
        <w:t xml:space="preserve">Il criterio va percio riformulato, e la riformulazione si acquisisce al grado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xml:space="preserve"> in attesa di verifica: la divergenza dottrinale sulle caste non predice l'attivita ma la sua forma. La lettura evoliana produce operativita violenta e orientamento verso la committenza statale occidentale; la lettura guenoniana produce operativita dottrinale e orientamento verso poli non occidentali. Entrambe producono effetti; differiscono per mezzo e per direzione.</w:t>
      </w:r>
    </w:p>
    <w:p>
      <w:pPr>
        <w:spacing w:line="276" w:lineRule="auto" w:after="120" w:before="0"/>
        <w:ind w:firstLine="425"/>
        <w:jc w:val="both"/>
      </w:pPr>
      <w:r>
        <w:rPr>
          <w:rFonts w:ascii="Times New Roman" w:hAnsi="Times New Roman" w:cs="Times New Roman" w:eastAsia="Times New Roman"/>
          <w:b w:val="0"/>
          <w:i w:val="0"/>
          <w:sz w:val="24"/>
        </w:rPr>
        <w:t>Il registro segnala che questa correzione rafforza anziche indebolire la tesi della biforcazione, poiche fornisce alla divergenza strategica un fondamento dottrinale anteriore, e che essa costituisce il primo caso, nel presente ciclo di sezioni, di autocorrezione indotta da materiale conferito successivamente.</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dichiara la falsificazione parziale del criterio formulato nella sezione metafisica e se ne acquisisce al grado </w:t>
      </w:r>
      <w:r>
        <w:rPr>
          <w:rFonts w:ascii="Times New Roman" w:hAnsi="Times New Roman" w:cs="Times New Roman" w:eastAsia="Times New Roman"/>
          <w:b/>
          <w:i/>
          <w:sz w:val="22"/>
        </w:rPr>
        <w:t>C</w:t>
      </w:r>
      <w:r>
        <w:rPr>
          <w:rFonts w:ascii="Times New Roman" w:hAnsi="Times New Roman" w:cs="Times New Roman" w:eastAsia="Times New Roman"/>
          <w:b w:val="0"/>
          <w:i/>
          <w:sz w:val="22"/>
        </w:rPr>
        <w:t xml:space="preserve"> la riformulazione, secondo cui la divergenza sulle caste predice la forma e la direzione dell'attivita e non la sua presenza.</w:t>
      </w:r>
    </w:p>
    <w:p>
      <w:pPr>
        <w:spacing w:line="276" w:lineRule="auto" w:after="160" w:before="240"/>
        <w:jc w:val="left"/>
      </w:pPr>
      <w:r>
        <w:rPr>
          <w:rFonts w:ascii="Times New Roman" w:hAnsi="Times New Roman" w:cs="Times New Roman" w:eastAsia="Times New Roman"/>
          <w:b/>
          <w:i w:val="0"/>
          <w:sz w:val="26"/>
        </w:rPr>
        <w:t>Blocco XIII — Il disprezzo reciproco come dato probatorio</w:t>
      </w:r>
    </w:p>
    <w:p>
      <w:pPr>
        <w:spacing w:line="276" w:lineRule="auto" w:after="120" w:before="0"/>
        <w:ind w:firstLine="425"/>
        <w:jc w:val="both"/>
      </w:pPr>
      <w:r>
        <w:rPr>
          <w:rFonts w:ascii="Times New Roman" w:hAnsi="Times New Roman" w:cs="Times New Roman" w:eastAsia="Times New Roman"/>
          <w:b w:val="0"/>
          <w:i w:val="0"/>
          <w:sz w:val="24"/>
        </w:rPr>
        <w:t>Il materiale conferito registra che i militanti della seconda filiera consideravano la prima collusa con la strategia della tensione, manipolata dai servizi atlantici e strumento dell'imperialismo statunitense.</w:t>
      </w:r>
    </w:p>
    <w:p>
      <w:pPr>
        <w:spacing w:line="276" w:lineRule="auto" w:after="120" w:before="0"/>
        <w:ind w:firstLine="425"/>
        <w:jc w:val="both"/>
      </w:pPr>
      <w:r>
        <w:rPr>
          <w:rFonts w:ascii="Times New Roman" w:hAnsi="Times New Roman" w:cs="Times New Roman" w:eastAsia="Times New Roman"/>
          <w:b w:val="0"/>
          <w:i w:val="0"/>
          <w:sz w:val="24"/>
        </w:rPr>
        <w:t xml:space="preserve">Il registro acquisisce il dato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essendo desumibile dalla pubblicistica di area, e ne segnala il rendimento probatorio specifico, superiore a quello di una semplice notazione di clima.</w:t>
      </w:r>
    </w:p>
    <w:p>
      <w:pPr>
        <w:spacing w:line="276" w:lineRule="auto" w:after="120" w:before="0"/>
        <w:ind w:firstLine="425"/>
        <w:jc w:val="both"/>
      </w:pPr>
      <w:r>
        <w:rPr>
          <w:rFonts w:ascii="Times New Roman" w:hAnsi="Times New Roman" w:cs="Times New Roman" w:eastAsia="Times New Roman"/>
          <w:b w:val="0"/>
          <w:i w:val="0"/>
          <w:sz w:val="24"/>
        </w:rPr>
        <w:t>Una valutazione formulata da avversari interni al medesimo campo possiede caratteristiche che nessuna fonte esterna possiede: chi la formula conosce l'ambiente dall'interno, non ha interesse a esagerare la subalternita della propria area, e ha interesse a documentare quella dell'area rivale. La dichiarazione contro interesse parziale e categoria probatoria riconosciuta, e va applicata qui.</w:t>
      </w:r>
    </w:p>
    <w:p>
      <w:pPr>
        <w:spacing w:line="276" w:lineRule="auto" w:after="120" w:before="0"/>
        <w:ind w:firstLine="425"/>
        <w:jc w:val="both"/>
      </w:pPr>
      <w:r>
        <w:rPr>
          <w:rFonts w:ascii="Times New Roman" w:hAnsi="Times New Roman" w:cs="Times New Roman" w:eastAsia="Times New Roman"/>
          <w:b w:val="0"/>
          <w:i w:val="0"/>
          <w:sz w:val="24"/>
        </w:rPr>
        <w:t xml:space="preserve">Ne discende una corroborazione indipendente di quanto gia acquisito al registro per altra via, cioe della subalternita della prima filiera agli apparati, che risulta affermata tanto dalle deposizioni giudiziarie di un suo esponente reo confesso quanto dalla polemica della filiera rivale. La convergenza di due fonti di natura affatto diversa e reciprocamente ostili eleva la proposizione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pieno.</w:t>
      </w:r>
    </w:p>
    <w:p>
      <w:pPr>
        <w:spacing w:line="276" w:lineRule="auto" w:after="120" w:before="0"/>
        <w:ind w:firstLine="425"/>
        <w:jc w:val="both"/>
      </w:pPr>
      <w:r>
        <w:rPr>
          <w:rFonts w:ascii="Times New Roman" w:hAnsi="Times New Roman" w:cs="Times New Roman" w:eastAsia="Times New Roman"/>
          <w:b w:val="0"/>
          <w:i w:val="0"/>
          <w:sz w:val="24"/>
        </w:rPr>
        <w:t>Il registro segnala per contro che la medesima logica non consente di elevare la valutazione simmetrica, poiche non risulta documentata una polemica speculare di pari articolazione della prima filiera contro la seconda, il che costituisce a sua volta asimmetria da registrare.</w:t>
      </w:r>
    </w:p>
    <w:p>
      <w:pPr>
        <w:spacing w:line="276" w:lineRule="auto" w:after="240" w:before="0"/>
        <w:ind w:firstLine="425"/>
        <w:jc w:val="both"/>
      </w:pPr>
      <w:r>
        <w:rPr>
          <w:rFonts w:ascii="Times New Roman" w:hAnsi="Times New Roman" w:cs="Times New Roman" w:eastAsia="Times New Roman"/>
          <w:b w:val="0"/>
          <w:i/>
          <w:sz w:val="22"/>
        </w:rPr>
        <w:t>Sintesi del dato nuovo acquisito: si acquisisce la polemica interna al campo come dichiarazione contro interesse parziale, corroborativa indipendente della subalternita della prima filiera, e si registra l'asimmetria consistente nell'assenza di polemica speculare documentata.</w:t>
      </w:r>
    </w:p>
    <w:p>
      <w:pPr>
        <w:spacing w:line="276" w:lineRule="auto" w:after="160" w:before="240"/>
        <w:jc w:val="left"/>
      </w:pPr>
      <w:r>
        <w:rPr>
          <w:rFonts w:ascii="Times New Roman" w:hAnsi="Times New Roman" w:cs="Times New Roman" w:eastAsia="Times New Roman"/>
          <w:b/>
          <w:i w:val="0"/>
          <w:sz w:val="26"/>
        </w:rPr>
        <w:t>Blocco XIV — Le convergenze rossobrune: statuto e limiti</w:t>
      </w:r>
    </w:p>
    <w:p>
      <w:pPr>
        <w:spacing w:line="276" w:lineRule="auto" w:after="120" w:before="0"/>
        <w:ind w:firstLine="425"/>
        <w:jc w:val="both"/>
      </w:pPr>
      <w:r>
        <w:rPr>
          <w:rFonts w:ascii="Times New Roman" w:hAnsi="Times New Roman" w:cs="Times New Roman" w:eastAsia="Times New Roman"/>
          <w:b w:val="0"/>
          <w:i w:val="0"/>
          <w:sz w:val="24"/>
        </w:rPr>
        <w:t>Il materiale conferito introduce il tema delle convergenze fra estrema destra ed estrema sinistra in chiave antiamericana, citando l'apertura di una rivista di area a interlocutori della sinistra, e utilizza la figura di Franco Piperno esclusivamente come termine di paragone per il dibattito storiografico.</w:t>
      </w:r>
    </w:p>
    <w:p>
      <w:pPr>
        <w:spacing w:line="276" w:lineRule="auto" w:after="120" w:before="0"/>
        <w:ind w:firstLine="425"/>
        <w:jc w:val="both"/>
      </w:pPr>
      <w:r>
        <w:rPr>
          <w:rFonts w:ascii="Times New Roman" w:hAnsi="Times New Roman" w:cs="Times New Roman" w:eastAsia="Times New Roman"/>
          <w:b w:val="0"/>
          <w:i w:val="0"/>
          <w:sz w:val="24"/>
        </w:rPr>
        <w:t xml:space="preserve">Il registro acquisisce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l'esistenza del fenomeno editoriale e dottrinale, che e attestato e databile, e ne qualifica la natura: si tratta di convergenza tematica su un avversario comune, non di struttura comune ne di atto comune. La categoria applicabile e quella dell'arco di convergenza, quarto tipo della tassonomia, che per definizione non presuppone contatto diretto fra gli attori.</w:t>
      </w:r>
    </w:p>
    <w:p>
      <w:pPr>
        <w:spacing w:line="276" w:lineRule="auto" w:after="120" w:before="0"/>
        <w:ind w:firstLine="425"/>
        <w:jc w:val="both"/>
      </w:pPr>
      <w:r>
        <w:rPr>
          <w:rFonts w:ascii="Times New Roman" w:hAnsi="Times New Roman" w:cs="Times New Roman" w:eastAsia="Times New Roman"/>
          <w:b w:val="0"/>
          <w:i w:val="0"/>
          <w:sz w:val="24"/>
        </w:rPr>
        <w:t xml:space="preserve">Il registro acquisisce inoltre, e lo enuncia espressamente, che il materiale conferito dichiara l'assoluta mancanza di connessioni operative dirette fra la figura citata e le reti neofasciste, tanto atlantiste quanto eurasiatiste. La dichiarazione va registrata come risultato negativo e non omessa, in applicazione dell'obbligo di contrasto interno; il suo grado e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per la medesima ragione strutturale enunciata al blocco decimo circa le affermazioni negative universali.</w:t>
      </w:r>
    </w:p>
    <w:p>
      <w:pPr>
        <w:spacing w:line="276" w:lineRule="auto" w:after="120" w:before="0"/>
        <w:ind w:firstLine="425"/>
        <w:jc w:val="both"/>
      </w:pPr>
      <w:r>
        <w:rPr>
          <w:rFonts w:ascii="Times New Roman" w:hAnsi="Times New Roman" w:cs="Times New Roman" w:eastAsia="Times New Roman"/>
          <w:b w:val="0"/>
          <w:i w:val="0"/>
          <w:sz w:val="24"/>
        </w:rPr>
        <w:t xml:space="preserve">Va segnalato che la figura in questione compare altrove nel corpus in relazione ad altra vicenda, come soggetto audito da commissione parlamentare, e che le due comparse vanno tenute distinte: la comparsa come audito e di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quanto all'esistenza dell'audizione, e non fonda alcuna proposizione sulla presente materia.</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qualifica la convergenza rossobruna come arco di convergenza tematica senza struttura ne atto comune, e si registra al grado </w:t>
      </w:r>
      <w:r>
        <w:rPr>
          <w:rFonts w:ascii="Times New Roman" w:hAnsi="Times New Roman" w:cs="Times New Roman" w:eastAsia="Times New Roman"/>
          <w:b/>
          <w:i/>
          <w:sz w:val="22"/>
        </w:rPr>
        <w:t>C</w:t>
      </w:r>
      <w:r>
        <w:rPr>
          <w:rFonts w:ascii="Times New Roman" w:hAnsi="Times New Roman" w:cs="Times New Roman" w:eastAsia="Times New Roman"/>
          <w:b w:val="0"/>
          <w:i/>
          <w:sz w:val="22"/>
        </w:rPr>
        <w:t xml:space="preserve"> il risultato negativo sulle connessioni operative dirette, con separazione delle distinte comparse della medesima figura nel corpus.</w:t>
      </w:r>
    </w:p>
    <w:p>
      <w:pPr>
        <w:spacing w:line="276" w:lineRule="auto" w:after="160" w:before="240"/>
        <w:jc w:val="left"/>
      </w:pPr>
      <w:r>
        <w:rPr>
          <w:rFonts w:ascii="Times New Roman" w:hAnsi="Times New Roman" w:cs="Times New Roman" w:eastAsia="Times New Roman"/>
          <w:b/>
          <w:i w:val="0"/>
          <w:sz w:val="26"/>
        </w:rPr>
        <w:t>Blocco XV — La riorganizzazione del grafo indotta dalla biforcazione</w:t>
      </w:r>
    </w:p>
    <w:p>
      <w:pPr>
        <w:spacing w:line="276" w:lineRule="auto" w:after="120" w:before="0"/>
        <w:ind w:firstLine="425"/>
        <w:jc w:val="both"/>
      </w:pPr>
      <w:r>
        <w:rPr>
          <w:rFonts w:ascii="Times New Roman" w:hAnsi="Times New Roman" w:cs="Times New Roman" w:eastAsia="Times New Roman"/>
          <w:b w:val="0"/>
          <w:i w:val="0"/>
          <w:sz w:val="24"/>
        </w:rPr>
        <w:t>Il blocco trae le conseguenze topologiche della tesi accolta, che modificano la struttura del grafo federato e non soltanto la sua descrizione.</w:t>
      </w:r>
    </w:p>
    <w:p>
      <w:pPr>
        <w:spacing w:line="276" w:lineRule="auto" w:after="120" w:before="0"/>
        <w:ind w:firstLine="425"/>
        <w:jc w:val="both"/>
      </w:pPr>
      <w:r>
        <w:rPr>
          <w:rFonts w:ascii="Times New Roman" w:hAnsi="Times New Roman" w:cs="Times New Roman" w:eastAsia="Times New Roman"/>
          <w:b w:val="0"/>
          <w:i w:val="0"/>
          <w:sz w:val="24"/>
        </w:rPr>
        <w:t>Nella rappresentazione precedente l'eversione nera transnazionale costituiva un unico cluster ad alta densita interna, con nodi ponte verso i domini dell'intelligence e della politica. La biforcazione impone di riconoscere due cluster distinti, con densita interna elevata e densita reciproca prossima allo zero, ciascuno con proprie connessioni esterne di natura diversa: il primo verso il dominio dell'intelligence occidentale e verso i regimi militari; il secondo verso il dominio editoriale e verso poli statuali non occidentali.</w:t>
      </w:r>
    </w:p>
    <w:p>
      <w:pPr>
        <w:spacing w:line="276" w:lineRule="auto" w:after="120" w:before="0"/>
        <w:ind w:firstLine="425"/>
        <w:jc w:val="both"/>
      </w:pPr>
      <w:r>
        <w:rPr>
          <w:rFonts w:ascii="Times New Roman" w:hAnsi="Times New Roman" w:cs="Times New Roman" w:eastAsia="Times New Roman"/>
          <w:b w:val="0"/>
          <w:i w:val="0"/>
          <w:sz w:val="24"/>
        </w:rPr>
        <w:t>La configurazione risultante presenta un buco strutturale nel senso proprio del pattern: due gruppi densamente connessi al loro interno e non connessi fra loro, pur condividendo campo ideologico, lessico e in parte anagrafe generazionale. Il buco strutturale e significativo perche soddisfa il criterio di convergenza richiesto dalla metodologia, essendo confermato da due misure indipendenti, cioe la bassa densita reciproca osservata e l'assenza di percorsi alternativi documentati.</w:t>
      </w:r>
    </w:p>
    <w:p>
      <w:pPr>
        <w:spacing w:line="276" w:lineRule="auto" w:after="120" w:before="0"/>
        <w:ind w:firstLine="425"/>
        <w:jc w:val="both"/>
      </w:pPr>
      <w:r>
        <w:rPr>
          <w:rFonts w:ascii="Times New Roman" w:hAnsi="Times New Roman" w:cs="Times New Roman" w:eastAsia="Times New Roman"/>
          <w:b w:val="0"/>
          <w:i w:val="0"/>
          <w:sz w:val="24"/>
        </w:rPr>
        <w:t>Il registro segnala che l'esistenza del buco strutturale non implica l'impossibilita di un ponte: implica che, se un ponte esiste, esso e occupato da un numero ristrettissimo di nodi la cui identificazione avrebbe rendimento analitico eccezionale. La ricerca di tale ponte si iscrive nella Tavola Unica come lacuna a rimediabilita media, con sede negli archivi editoriali e nelle carte processuali delle due aree.</w:t>
      </w:r>
    </w:p>
    <w:p>
      <w:pPr>
        <w:spacing w:line="276" w:lineRule="auto" w:after="240" w:before="0"/>
        <w:ind w:firstLine="425"/>
        <w:jc w:val="both"/>
      </w:pPr>
      <w:r>
        <w:rPr>
          <w:rFonts w:ascii="Times New Roman" w:hAnsi="Times New Roman" w:cs="Times New Roman" w:eastAsia="Times New Roman"/>
          <w:b w:val="0"/>
          <w:i/>
          <w:sz w:val="22"/>
        </w:rPr>
        <w:t>Sintesi del dato nuovo acquisito: si riconosce nel grafo un buco strutturale fra le due filiere confermato da due misure indipendenti, e si iscrive la ricerca dei nodi ponte fra le lacune a rimediabilita media con sede documentale indicata.</w:t>
      </w:r>
    </w:p>
    <w:p>
      <w:pPr>
        <w:spacing w:line="276" w:lineRule="auto" w:after="160" w:before="240"/>
        <w:jc w:val="left"/>
      </w:pPr>
      <w:r>
        <w:rPr>
          <w:rFonts w:ascii="Times New Roman" w:hAnsi="Times New Roman" w:cs="Times New Roman" w:eastAsia="Times New Roman"/>
          <w:b/>
          <w:i w:val="0"/>
          <w:sz w:val="26"/>
        </w:rPr>
        <w:t>Blocco XVI — Il pattern del transito generazionale e il serbatoio reducistico</w:t>
      </w:r>
    </w:p>
    <w:p>
      <w:pPr>
        <w:spacing w:line="276" w:lineRule="auto" w:after="120" w:before="0"/>
        <w:ind w:firstLine="425"/>
        <w:jc w:val="both"/>
      </w:pPr>
      <w:r>
        <w:rPr>
          <w:rFonts w:ascii="Times New Roman" w:hAnsi="Times New Roman" w:cs="Times New Roman" w:eastAsia="Times New Roman"/>
          <w:b w:val="0"/>
          <w:i w:val="0"/>
          <w:sz w:val="24"/>
        </w:rPr>
        <w:t>Il materiale conferito descrive la collocazione, negli anni Settanta, degli ex appartenenti alle formazioni militari della Repubblica Sociale, indicandone tre destinazioni: il radicamento nel partito della destra parlamentare, la contiguita con l'eversione, e la rete associativa combattentistica con funzioni di mutuo soccorso e di produzione memorialistica.</w:t>
      </w:r>
    </w:p>
    <w:p>
      <w:pPr>
        <w:spacing w:line="276" w:lineRule="auto" w:after="120" w:before="0"/>
        <w:ind w:firstLine="425"/>
        <w:jc w:val="both"/>
      </w:pPr>
      <w:r>
        <w:rPr>
          <w:rFonts w:ascii="Times New Roman" w:hAnsi="Times New Roman" w:cs="Times New Roman" w:eastAsia="Times New Roman"/>
          <w:b w:val="0"/>
          <w:i w:val="0"/>
          <w:sz w:val="24"/>
        </w:rPr>
        <w:t xml:space="preserve">Il registro acquisisce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la ricostruzione complessiva, trattandosi di quadro storiografico consolidato ma non documentato nel materiale conferito con fonti primarie, e ne isola l'elemento analiticamente produttivo, che e il terzo.</w:t>
      </w:r>
    </w:p>
    <w:p>
      <w:pPr>
        <w:spacing w:line="276" w:lineRule="auto" w:after="120" w:before="0"/>
        <w:ind w:firstLine="425"/>
        <w:jc w:val="both"/>
      </w:pPr>
      <w:r>
        <w:rPr>
          <w:rFonts w:ascii="Times New Roman" w:hAnsi="Times New Roman" w:cs="Times New Roman" w:eastAsia="Times New Roman"/>
          <w:b w:val="0"/>
          <w:i w:val="0"/>
          <w:sz w:val="24"/>
        </w:rPr>
        <w:t>La rete associativa reducistica presenta le caratteristiche che il registro ha gia riconosciuto altrove come proprie delle strutture di reintegrazione: essa e legale, dotata di sedi, di pubblicazioni e di contabilita; svolge assistenza economica e legale, anche a favore di detenuti della generazione successiva; e produce una contronarrazione storica. Non essendo clandestina, non lascia traccia negli archivi di sicurezza e lascia invece traccia negli archivi propri.</w:t>
      </w:r>
    </w:p>
    <w:p>
      <w:pPr>
        <w:spacing w:line="276" w:lineRule="auto" w:after="120" w:before="0"/>
        <w:ind w:firstLine="425"/>
        <w:jc w:val="both"/>
      </w:pPr>
      <w:r>
        <w:rPr>
          <w:rFonts w:ascii="Times New Roman" w:hAnsi="Times New Roman" w:cs="Times New Roman" w:eastAsia="Times New Roman"/>
          <w:b w:val="0"/>
          <w:i w:val="0"/>
          <w:sz w:val="24"/>
        </w:rPr>
        <w:t>Ne discende un'indicazione operativa identica a quella gia formulata nella sezione sulla diaspora per le organizzazioni di partito e assistenziali dei paesi di transito: la documentazione del raccordo generazionale fra il reducismo e l'eversione degli anni Settanta va cercata negli archivi associativi ed editoriali, e la relativa lacuna e percio ad alta rimediabilita.</w:t>
      </w:r>
    </w:p>
    <w:p>
      <w:pPr>
        <w:spacing w:line="276" w:lineRule="auto" w:after="120" w:before="0"/>
        <w:ind w:firstLine="425"/>
        <w:jc w:val="both"/>
      </w:pPr>
      <w:r>
        <w:rPr>
          <w:rFonts w:ascii="Times New Roman" w:hAnsi="Times New Roman" w:cs="Times New Roman" w:eastAsia="Times New Roman"/>
          <w:b w:val="0"/>
          <w:i w:val="0"/>
          <w:sz w:val="24"/>
        </w:rPr>
        <w:t>Il registro segnala la convergenza fra questa indicazione e quella della sezione precedente come conferma indipendente del criterio, proveniente da un teatro diverso, e la registra come tale.</w:t>
      </w:r>
    </w:p>
    <w:p>
      <w:pPr>
        <w:spacing w:line="276" w:lineRule="auto" w:after="240" w:before="0"/>
        <w:ind w:firstLine="425"/>
        <w:jc w:val="both"/>
      </w:pPr>
      <w:r>
        <w:rPr>
          <w:rFonts w:ascii="Times New Roman" w:hAnsi="Times New Roman" w:cs="Times New Roman" w:eastAsia="Times New Roman"/>
          <w:b w:val="0"/>
          <w:i/>
          <w:sz w:val="22"/>
        </w:rPr>
        <w:t>Sintesi del dato nuovo acquisito: si riconosce nella rete associativa reducistica la medesima morfologia legale gia individuata per le strutture di esfiltrazione, con conseguente collocazione della sede documentale negli archivi propri e alta rimediabilita della lacuna.</w:t>
      </w:r>
    </w:p>
    <w:p>
      <w:pPr>
        <w:spacing w:line="276" w:lineRule="auto" w:after="160" w:before="240"/>
        <w:jc w:val="left"/>
      </w:pPr>
      <w:r>
        <w:rPr>
          <w:rFonts w:ascii="Times New Roman" w:hAnsi="Times New Roman" w:cs="Times New Roman" w:eastAsia="Times New Roman"/>
          <w:b/>
          <w:i w:val="0"/>
          <w:sz w:val="26"/>
        </w:rPr>
        <w:t>Blocco XVII — Il congresso anticomunista di Asuncion del millenovecentosettantanove</w:t>
      </w:r>
    </w:p>
    <w:p>
      <w:pPr>
        <w:spacing w:line="276" w:lineRule="auto" w:after="120" w:before="0"/>
        <w:ind w:firstLine="425"/>
        <w:jc w:val="both"/>
      </w:pPr>
      <w:r>
        <w:rPr>
          <w:rFonts w:ascii="Times New Roman" w:hAnsi="Times New Roman" w:cs="Times New Roman" w:eastAsia="Times New Roman"/>
          <w:b w:val="0"/>
          <w:i w:val="0"/>
          <w:sz w:val="24"/>
        </w:rPr>
        <w:t>Il materiale conferito colloca nel millenovecentosettantanove ad Asuncion, sotto la protezione del regime paraguaiano, il congresso della lega anticomunista mondiale, con partecipazione di delegazioni da un numero elevato di paesi, comprensiva della delegazione sudafricana, e con presenza di almeno un esponente italiano di Ordine Nuovo.</w:t>
      </w:r>
    </w:p>
    <w:p>
      <w:pPr>
        <w:spacing w:line="276" w:lineRule="auto" w:after="120" w:before="0"/>
        <w:ind w:firstLine="425"/>
        <w:jc w:val="both"/>
      </w:pPr>
      <w:r>
        <w:rPr>
          <w:rFonts w:ascii="Times New Roman" w:hAnsi="Times New Roman" w:cs="Times New Roman" w:eastAsia="Times New Roman"/>
          <w:b w:val="0"/>
          <w:i w:val="0"/>
          <w:sz w:val="24"/>
        </w:rPr>
        <w:t xml:space="preserve">Il registro acquisisce al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l'esistenza del congresso, la sua sede e il suo anno, che sono fatti pubblici e documentati; acquisisce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la presenza dell'esponente italiano, attestata dalla letteratura specialistica; e colloca al grado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xml:space="preserve"> le quantificazioni relative al numero dei delegati e dei paesi, che il materiale riporta in due formulazioni fra loro divergenti nel medesimo corpus conferito, circostanza che il registro rileva espressamente.</w:t>
      </w:r>
    </w:p>
    <w:p>
      <w:pPr>
        <w:spacing w:line="276" w:lineRule="auto" w:after="120" w:before="0"/>
        <w:ind w:firstLine="425"/>
        <w:jc w:val="both"/>
      </w:pPr>
      <w:r>
        <w:rPr>
          <w:rFonts w:ascii="Times New Roman" w:hAnsi="Times New Roman" w:cs="Times New Roman" w:eastAsia="Times New Roman"/>
          <w:b w:val="0"/>
          <w:i w:val="0"/>
          <w:sz w:val="24"/>
        </w:rPr>
        <w:t>La divergenza interna al materiale su un dato numerico e segnalata perche costituisce applicazione diretta del filtro sulle quantificazioni gia adottato: due cifre diverse per il medesimo fatto nella medesima elaborazione indicano che nessuna delle due proviene da conteggio, e che entrambe derivano da fonti secondarie non collazionate.</w:t>
      </w:r>
    </w:p>
    <w:p>
      <w:pPr>
        <w:spacing w:line="276" w:lineRule="auto" w:after="120" w:before="0"/>
        <w:ind w:firstLine="425"/>
        <w:jc w:val="both"/>
      </w:pPr>
      <w:r>
        <w:rPr>
          <w:rFonts w:ascii="Times New Roman" w:hAnsi="Times New Roman" w:cs="Times New Roman" w:eastAsia="Times New Roman"/>
          <w:b w:val="0"/>
          <w:i w:val="0"/>
          <w:sz w:val="24"/>
        </w:rPr>
        <w:t>Il rendimento analitico del nodo e nella funzione del consesso e non nella sua dimensione. Esso costituisce la sede documentata in cui la filiera atlantista europea, i regimi del Cono Sud e il regime di Pretoria si trovarono contestualmente rappresentati, e fornisce percio il ponte fra teatri che nessun trattato collegava, come la sezione sulla diaspora ha gia rilevato per l'assenza di alleanza militare formale fra Africa australe e Cono Sud.</w:t>
      </w:r>
    </w:p>
    <w:p>
      <w:pPr>
        <w:spacing w:line="276" w:lineRule="auto" w:after="240" w:before="0"/>
        <w:ind w:firstLine="425"/>
        <w:jc w:val="both"/>
      </w:pPr>
      <w:r>
        <w:rPr>
          <w:rFonts w:ascii="Times New Roman" w:hAnsi="Times New Roman" w:cs="Times New Roman" w:eastAsia="Times New Roman"/>
          <w:b w:val="0"/>
          <w:i/>
          <w:sz w:val="22"/>
        </w:rPr>
        <w:t>Sintesi del dato nuovo acquisito: si acquisisce il consesso come sede documentata di contestuale rappresentanza dei tre teatri, e si registra la divergenza numerica interna al materiale conferito come indice di derivazione secondaria non collazionata.</w:t>
      </w:r>
    </w:p>
    <w:p>
      <w:pPr>
        <w:spacing w:line="276" w:lineRule="auto" w:after="160" w:before="240"/>
        <w:jc w:val="left"/>
      </w:pPr>
      <w:r>
        <w:rPr>
          <w:rFonts w:ascii="Times New Roman" w:hAnsi="Times New Roman" w:cs="Times New Roman" w:eastAsia="Times New Roman"/>
          <w:b/>
          <w:i w:val="0"/>
          <w:sz w:val="26"/>
        </w:rPr>
        <w:t>Blocco XVIII — Il congresso di Buenos Aires del tre settembre millenovecentottanta</w:t>
      </w:r>
    </w:p>
    <w:p>
      <w:pPr>
        <w:spacing w:line="276" w:lineRule="auto" w:after="120" w:before="0"/>
        <w:ind w:firstLine="425"/>
        <w:jc w:val="both"/>
      </w:pPr>
      <w:r>
        <w:rPr>
          <w:rFonts w:ascii="Times New Roman" w:hAnsi="Times New Roman" w:cs="Times New Roman" w:eastAsia="Times New Roman"/>
          <w:b w:val="0"/>
          <w:i w:val="0"/>
          <w:sz w:val="24"/>
        </w:rPr>
        <w:t>Il materiale conferito colloca al tre settembre millenovecentottanta a Buenos Aires il quarto congresso della confederazione anticomunista latinoamericana, sotto l'egida di un alto ufficiale argentino, con partecipazione di Stefano Delle Chiaie e con incontro fra costui e l'organizzatore degli squadroni della morte salvadoregni.</w:t>
      </w:r>
    </w:p>
    <w:p>
      <w:pPr>
        <w:spacing w:line="276" w:lineRule="auto" w:after="120" w:before="0"/>
        <w:ind w:firstLine="425"/>
        <w:jc w:val="both"/>
      </w:pPr>
      <w:r>
        <w:rPr>
          <w:rFonts w:ascii="Times New Roman" w:hAnsi="Times New Roman" w:cs="Times New Roman" w:eastAsia="Times New Roman"/>
          <w:b w:val="0"/>
          <w:i w:val="0"/>
          <w:sz w:val="24"/>
        </w:rPr>
        <w:t xml:space="preserve">Il registro acquisisce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l'esistenza del congresso e la partecipazione italiana, attestate dalla letteratura specialistica e da atti giudiziari argentini; colloca al grado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xml:space="preserve"> l'affermazione relativa allo specifico incontro bilaterale, che il materiale riporta senza indicazione di fonte primaria.</w:t>
      </w:r>
    </w:p>
    <w:p>
      <w:pPr>
        <w:spacing w:line="276" w:lineRule="auto" w:after="120" w:before="0"/>
        <w:ind w:firstLine="425"/>
        <w:jc w:val="both"/>
      </w:pPr>
      <w:r>
        <w:rPr>
          <w:rFonts w:ascii="Times New Roman" w:hAnsi="Times New Roman" w:cs="Times New Roman" w:eastAsia="Times New Roman"/>
          <w:b w:val="0"/>
          <w:i w:val="0"/>
          <w:sz w:val="24"/>
        </w:rPr>
        <w:t>Il nodo ha rilievo cronologico specifico e va enunciato. La data si colloca fra la strage del due agosto millenovecentottanta e la fine del medesimo anno, cioe nel periodo immediatamente successivo all'evento per il quale la giurisdizione italiana ha successivamente accertato mandanti e finanziatori. La coincidenza cronologica e registrata come dato di calendario e, in applicazione dell'invariante, non fonda alcuna inferenza.</w:t>
      </w:r>
    </w:p>
    <w:p>
      <w:pPr>
        <w:spacing w:line="276" w:lineRule="auto" w:after="120" w:before="0"/>
        <w:ind w:firstLine="425"/>
        <w:jc w:val="both"/>
      </w:pPr>
      <w:r>
        <w:rPr>
          <w:rFonts w:ascii="Times New Roman" w:hAnsi="Times New Roman" w:cs="Times New Roman" w:eastAsia="Times New Roman"/>
          <w:b w:val="0"/>
          <w:i w:val="0"/>
          <w:sz w:val="24"/>
        </w:rPr>
        <w:t>Il registro segnala che il nodo appartiene alla medesima costellazione documentata al blocco trentaseiesimo della sezione sulla diaspora, relativa all'evento boliviano del luglio del medesimo anno, e che i due nodi condividono un attore italiano e la cornice dell'apparato militare argentino. La densita di eventi documentati nell'arco di quattro mesi del millenovecentottanta e essa stessa dato da registrare, e si iscrive fra le finestre critiche da sottoporre ad analisi temporale formale.</w:t>
      </w:r>
    </w:p>
    <w:p>
      <w:pPr>
        <w:spacing w:line="276" w:lineRule="auto" w:after="240" w:before="0"/>
        <w:ind w:firstLine="425"/>
        <w:jc w:val="both"/>
      </w:pPr>
      <w:r>
        <w:rPr>
          <w:rFonts w:ascii="Times New Roman" w:hAnsi="Times New Roman" w:cs="Times New Roman" w:eastAsia="Times New Roman"/>
          <w:b w:val="0"/>
          <w:i/>
          <w:sz w:val="22"/>
        </w:rPr>
        <w:t>Sintesi del dato nuovo acquisito: si iscrive il periodo luglio-settembre millenovecentottanta fra le finestre critiche da sottoporre ad analisi temporale formale, per densita documentata di eventi condividenti attori e cornice istituzionale.</w:t>
      </w:r>
    </w:p>
    <w:p>
      <w:pPr>
        <w:spacing w:line="276" w:lineRule="auto" w:after="160" w:before="240"/>
        <w:jc w:val="left"/>
      </w:pPr>
      <w:r>
        <w:rPr>
          <w:rFonts w:ascii="Times New Roman" w:hAnsi="Times New Roman" w:cs="Times New Roman" w:eastAsia="Times New Roman"/>
          <w:b/>
          <w:i w:val="0"/>
          <w:sz w:val="26"/>
        </w:rPr>
        <w:t>Blocco XIX — La proiezione argentina della loggia coperta</w:t>
      </w:r>
    </w:p>
    <w:p>
      <w:pPr>
        <w:spacing w:line="276" w:lineRule="auto" w:after="120" w:before="0"/>
        <w:ind w:firstLine="425"/>
        <w:jc w:val="both"/>
      </w:pPr>
      <w:r>
        <w:rPr>
          <w:rFonts w:ascii="Times New Roman" w:hAnsi="Times New Roman" w:cs="Times New Roman" w:eastAsia="Times New Roman"/>
          <w:b w:val="0"/>
          <w:i w:val="0"/>
          <w:sz w:val="24"/>
        </w:rPr>
        <w:t>Il materiale conferito afferma la presenza negli elenchi della loggia coperta italiana di un ammiraglio argentino e di un generale comandante di corpo d'armata e di una struttura di intelligence militare.</w:t>
      </w:r>
    </w:p>
    <w:p>
      <w:pPr>
        <w:spacing w:line="276" w:lineRule="auto" w:after="120" w:before="0"/>
        <w:ind w:firstLine="425"/>
        <w:jc w:val="both"/>
      </w:pPr>
      <w:r>
        <w:rPr>
          <w:rFonts w:ascii="Times New Roman" w:hAnsi="Times New Roman" w:cs="Times New Roman" w:eastAsia="Times New Roman"/>
          <w:b w:val="0"/>
          <w:i w:val="0"/>
          <w:sz w:val="24"/>
        </w:rPr>
        <w:t xml:space="preserve">Il registro acquisisce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la presenza di nominativi argentini di alto rango negli elenchi rinvenuti nel millenovecentottantuno, che e attestata dalla documentazione della commissione parlamentare italiana e dalla successiva letteratura, e segnala che la questione dell'attendibilita degli elenchi e stata oggetto di valutazione differenziata nelle sedi giudiziarie e parlamentari italiane, circostanza che va registrata e non taciuta.</w:t>
      </w:r>
    </w:p>
    <w:p>
      <w:pPr>
        <w:spacing w:line="276" w:lineRule="auto" w:after="120" w:before="0"/>
        <w:ind w:firstLine="425"/>
        <w:jc w:val="both"/>
      </w:pPr>
      <w:r>
        <w:rPr>
          <w:rFonts w:ascii="Times New Roman" w:hAnsi="Times New Roman" w:cs="Times New Roman" w:eastAsia="Times New Roman"/>
          <w:b w:val="0"/>
          <w:i w:val="0"/>
          <w:sz w:val="24"/>
        </w:rPr>
        <w:t xml:space="preserve">L'elemento analiticamente rilevante non e l'iscrizione in se ma la sua funzione. Una struttura associativa riservata italiana che annovera vertici militari di uno Stato estero costituisce, sul piano della teoria dei sistemi, un accoppiamento strutturale fra il dominio massonico di un paese e il dominio militare di un altro, e produce un canale di relazione che non passa per i rispettivi ministeri degli esteri. La qualificazione e di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e corrisponde alla nozione di diplomazia parallela.</w:t>
      </w:r>
    </w:p>
    <w:p>
      <w:pPr>
        <w:spacing w:line="276" w:lineRule="auto" w:after="120" w:before="0"/>
        <w:ind w:firstLine="425"/>
        <w:jc w:val="both"/>
      </w:pPr>
      <w:r>
        <w:rPr>
          <w:rFonts w:ascii="Times New Roman" w:hAnsi="Times New Roman" w:cs="Times New Roman" w:eastAsia="Times New Roman"/>
          <w:b w:val="0"/>
          <w:i w:val="0"/>
          <w:sz w:val="24"/>
        </w:rPr>
        <w:t xml:space="preserve">Il registro segnala che il materiale conferito qualifica altresi la loggia, sulla scorta di un rapporto di servizio informativo brasiliano del millenovecentottantatre, come centro di contrabbando di armi e di vendita di segreti militari. Il grado di tale qualificazione e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essa proviene da fonte unica, di natura informativa e non giudiziaria, prodotta da un apparato di un paese terzo, e non risulta riscontrata.</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qualifica al grado </w:t>
      </w:r>
      <w:r>
        <w:rPr>
          <w:rFonts w:ascii="Times New Roman" w:hAnsi="Times New Roman" w:cs="Times New Roman" w:eastAsia="Times New Roman"/>
          <w:b/>
          <w:i/>
          <w:sz w:val="22"/>
        </w:rPr>
        <w:t>B</w:t>
      </w:r>
      <w:r>
        <w:rPr>
          <w:rFonts w:ascii="Times New Roman" w:hAnsi="Times New Roman" w:cs="Times New Roman" w:eastAsia="Times New Roman"/>
          <w:b w:val="0"/>
          <w:i/>
          <w:sz w:val="22"/>
        </w:rPr>
        <w:t xml:space="preserve"> la funzione di canale diplomatico parallelo della struttura associativa riservata fra domini di Stati diversi, e si colloca al grado </w:t>
      </w:r>
      <w:r>
        <w:rPr>
          <w:rFonts w:ascii="Times New Roman" w:hAnsi="Times New Roman" w:cs="Times New Roman" w:eastAsia="Times New Roman"/>
          <w:b/>
          <w:i/>
          <w:sz w:val="22"/>
        </w:rPr>
        <w:t>C</w:t>
      </w:r>
      <w:r>
        <w:rPr>
          <w:rFonts w:ascii="Times New Roman" w:hAnsi="Times New Roman" w:cs="Times New Roman" w:eastAsia="Times New Roman"/>
          <w:b w:val="0"/>
          <w:i/>
          <w:sz w:val="22"/>
        </w:rPr>
        <w:t xml:space="preserve"> la qualificazione della medesima come holding di traffici, per unicita e natura non giudiziaria della fonte.</w:t>
      </w:r>
    </w:p>
    <w:p>
      <w:pPr>
        <w:spacing w:line="276" w:lineRule="auto" w:after="160" w:before="240"/>
        <w:jc w:val="left"/>
      </w:pPr>
      <w:r>
        <w:rPr>
          <w:rFonts w:ascii="Times New Roman" w:hAnsi="Times New Roman" w:cs="Times New Roman" w:eastAsia="Times New Roman"/>
          <w:b/>
          <w:i w:val="0"/>
          <w:sz w:val="26"/>
        </w:rPr>
        <w:t>Blocco XX — La divisione geografica dei santuari e la sua ragione</w:t>
      </w:r>
    </w:p>
    <w:p>
      <w:pPr>
        <w:spacing w:line="276" w:lineRule="auto" w:after="120" w:before="0"/>
        <w:ind w:firstLine="425"/>
        <w:jc w:val="both"/>
      </w:pPr>
      <w:r>
        <w:rPr>
          <w:rFonts w:ascii="Times New Roman" w:hAnsi="Times New Roman" w:cs="Times New Roman" w:eastAsia="Times New Roman"/>
          <w:b w:val="0"/>
          <w:i w:val="0"/>
          <w:sz w:val="24"/>
        </w:rPr>
        <w:t>Il materiale conferito documenta che, a partire dal millenovecentosettantasette, i quadri delle due principali formazioni eversive italiane espatriati dalla penisola iberica presero destinazioni distinte: Avanguardia Nazionale verso il Cile, Ordine Nuovo verso il Paraguay.</w:t>
      </w:r>
    </w:p>
    <w:p>
      <w:pPr>
        <w:spacing w:line="276" w:lineRule="auto" w:after="120" w:before="0"/>
        <w:ind w:firstLine="425"/>
        <w:jc w:val="both"/>
      </w:pPr>
      <w:r>
        <w:rPr>
          <w:rFonts w:ascii="Times New Roman" w:hAnsi="Times New Roman" w:cs="Times New Roman" w:eastAsia="Times New Roman"/>
          <w:b w:val="0"/>
          <w:i w:val="0"/>
          <w:sz w:val="24"/>
        </w:rPr>
        <w:t xml:space="preserve">Il registro acquisisce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la ripartizione, attestata dalla letteratura e da documentazione archivistica sudamericana, e ne isola la ragione indicata: per la prima formazione, i rapporti gia instaurati con la polizia segreta cilena a seguito di un attentato romano contro un esponente politico cileno; per la seconda, la stabilita e il basso profilo internazionale del regime paraguaiano.</w:t>
      </w:r>
    </w:p>
    <w:p>
      <w:pPr>
        <w:spacing w:line="276" w:lineRule="auto" w:after="120" w:before="0"/>
        <w:ind w:firstLine="425"/>
        <w:jc w:val="both"/>
      </w:pPr>
      <w:r>
        <w:rPr>
          <w:rFonts w:ascii="Times New Roman" w:hAnsi="Times New Roman" w:cs="Times New Roman" w:eastAsia="Times New Roman"/>
          <w:b w:val="0"/>
          <w:i w:val="0"/>
          <w:sz w:val="24"/>
        </w:rPr>
        <w:t>Il dato analiticamente produttivo e che la scelta del santuario risulta funzione di relazioni preesistenti e non di affinita ideologica, essendo entrambi i regimi ospitanti ideologicamente compatibili con entrambe le formazioni. Cio conferma per via indipendente la tesi gia formulata nella sezione sulla diaspora circa la preesistenza dell'infrastruttura, e ne estende la portata dal piano economico al piano relazionale.</w:t>
      </w:r>
    </w:p>
    <w:p>
      <w:pPr>
        <w:spacing w:line="276" w:lineRule="auto" w:after="120" w:before="0"/>
        <w:ind w:firstLine="425"/>
        <w:jc w:val="both"/>
      </w:pPr>
      <w:r>
        <w:rPr>
          <w:rFonts w:ascii="Times New Roman" w:hAnsi="Times New Roman" w:cs="Times New Roman" w:eastAsia="Times New Roman"/>
          <w:b w:val="0"/>
          <w:i w:val="0"/>
          <w:sz w:val="24"/>
        </w:rPr>
        <w:t xml:space="preserve">Il registro segnala che l'attentato romano richiamato quale origine del rapporto e fatto giudizialmente accertato, con condanna di esecutori individuati, e che esso costituisce percio il nodo di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su cui poggia l'intera ricostruzione della relazione fra la formazione italiana e l'apparato cileno.</w:t>
      </w:r>
    </w:p>
    <w:p>
      <w:pPr>
        <w:spacing w:line="276" w:lineRule="auto" w:after="240" w:before="0"/>
        <w:ind w:firstLine="425"/>
        <w:jc w:val="both"/>
      </w:pPr>
      <w:r>
        <w:rPr>
          <w:rFonts w:ascii="Times New Roman" w:hAnsi="Times New Roman" w:cs="Times New Roman" w:eastAsia="Times New Roman"/>
          <w:b w:val="0"/>
          <w:i/>
          <w:sz w:val="22"/>
        </w:rPr>
        <w:t>Sintesi del dato nuovo acquisito: si acquisisce che la ripartizione dei santuari fu funzione di relazioni preesistenti e non di affinita ideologica, estendendo dal piano economico al piano relazionale la tesi della preesistenza dell'infrastruttura.</w:t>
      </w:r>
    </w:p>
    <w:p>
      <w:pPr>
        <w:spacing w:line="276" w:lineRule="auto" w:after="160" w:before="240"/>
        <w:jc w:val="left"/>
      </w:pPr>
      <w:r>
        <w:rPr>
          <w:rFonts w:ascii="Times New Roman" w:hAnsi="Times New Roman" w:cs="Times New Roman" w:eastAsia="Times New Roman"/>
          <w:b/>
          <w:i w:val="0"/>
          <w:sz w:val="26"/>
        </w:rPr>
        <w:t>Blocco XXI — L'accreditamento reciproco e l'alias negli archivi della repressione</w:t>
      </w:r>
    </w:p>
    <w:p>
      <w:pPr>
        <w:spacing w:line="276" w:lineRule="auto" w:after="120" w:before="0"/>
        <w:ind w:firstLine="425"/>
        <w:jc w:val="both"/>
      </w:pPr>
      <w:r>
        <w:rPr>
          <w:rFonts w:ascii="Times New Roman" w:hAnsi="Times New Roman" w:cs="Times New Roman" w:eastAsia="Times New Roman"/>
          <w:b w:val="0"/>
          <w:i w:val="0"/>
          <w:sz w:val="24"/>
        </w:rPr>
        <w:t>Il materiale conferito documenta che i vertici di Ordine Nuovo stabilitisi in Paraguay fornirono garanzia presso l'apparato di sicurezza locale a favore di Stefano Delle Chiaie, e che costui risulta registrato negli archivi della repressione sotto un nome di copertura.</w:t>
      </w:r>
    </w:p>
    <w:p>
      <w:pPr>
        <w:spacing w:line="276" w:lineRule="auto" w:after="120" w:before="0"/>
        <w:ind w:firstLine="425"/>
        <w:jc w:val="both"/>
      </w:pPr>
      <w:r>
        <w:rPr>
          <w:rFonts w:ascii="Times New Roman" w:hAnsi="Times New Roman" w:cs="Times New Roman" w:eastAsia="Times New Roman"/>
          <w:b w:val="0"/>
          <w:i w:val="0"/>
          <w:sz w:val="24"/>
        </w:rPr>
        <w:t xml:space="preserve">Il registro acquisisce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l'esistenza della registrazione negli archivi rinvenuti nel millenovecentonovantadue, che e verificabile su fonte archivistica accessibile, e segnala che l'indicazione del faldone fornita dal materiale conferito rende la verifica puntualmente eseguibile: la lacuna e percio ad altissima rimediabilita e si iscrive in Tavola Unica con priorita massima fra quelle della presente sezione.</w:t>
      </w:r>
    </w:p>
    <w:p>
      <w:pPr>
        <w:spacing w:line="276" w:lineRule="auto" w:after="120" w:before="0"/>
        <w:ind w:firstLine="425"/>
        <w:jc w:val="both"/>
      </w:pPr>
      <w:r>
        <w:rPr>
          <w:rFonts w:ascii="Times New Roman" w:hAnsi="Times New Roman" w:cs="Times New Roman" w:eastAsia="Times New Roman"/>
          <w:b w:val="0"/>
          <w:i w:val="0"/>
          <w:sz w:val="24"/>
        </w:rPr>
        <w:t>Il meccanismo dell'accreditamento reciproco e il dato analitico e va enunciato. Due strutture italiane distinte, collocate in due paesi diversi, operavano l'una come garante dell'altra presso gli apparati ospitanti. Ne discende che la divisione geografica documentata al blocco precedente non implicava separazione operativa fra le due formazioni, ma configurava piuttosto una specializzazione territoriale con mutuo riconoscimento.</w:t>
      </w:r>
    </w:p>
    <w:p>
      <w:pPr>
        <w:spacing w:line="276" w:lineRule="auto" w:after="120" w:before="0"/>
        <w:ind w:firstLine="425"/>
        <w:jc w:val="both"/>
      </w:pPr>
      <w:r>
        <w:rPr>
          <w:rFonts w:ascii="Times New Roman" w:hAnsi="Times New Roman" w:cs="Times New Roman" w:eastAsia="Times New Roman"/>
          <w:b w:val="0"/>
          <w:i w:val="0"/>
          <w:sz w:val="24"/>
        </w:rPr>
        <w:t>La precisazione e necessaria per non estendere impropriamente la tesi della biforcazione: essa vale fra le due filiere internazionali e non fra le formazioni italiane appartenenti alla medesima filiera, le quali risultano al contrario reciprocamente integrate. La confusione fra i due livelli produrrebbe una frammentazione eccessiva del grafo, speculare all'errore del monolite.</w:t>
      </w:r>
    </w:p>
    <w:p>
      <w:pPr>
        <w:spacing w:line="276" w:lineRule="auto" w:after="240" w:before="0"/>
        <w:ind w:firstLine="425"/>
        <w:jc w:val="both"/>
      </w:pPr>
      <w:r>
        <w:rPr>
          <w:rFonts w:ascii="Times New Roman" w:hAnsi="Times New Roman" w:cs="Times New Roman" w:eastAsia="Times New Roman"/>
          <w:b w:val="0"/>
          <w:i/>
          <w:sz w:val="22"/>
        </w:rPr>
        <w:t>Sintesi del dato nuovo acquisito: si acquisisce il meccanismo dell'accreditamento reciproco fra formazioni della medesima filiera in santuari diversi, e si delimita espressamente la tesi della biforcazione al livello fra filiere, escludendone l'applicazione al livello interno a ciascuna.</w:t>
      </w:r>
    </w:p>
    <w:p>
      <w:pPr>
        <w:spacing w:line="276" w:lineRule="auto" w:after="160" w:before="240"/>
        <w:jc w:val="left"/>
      </w:pPr>
      <w:r>
        <w:rPr>
          <w:rFonts w:ascii="Times New Roman" w:hAnsi="Times New Roman" w:cs="Times New Roman" w:eastAsia="Times New Roman"/>
          <w:b/>
          <w:i w:val="0"/>
          <w:sz w:val="26"/>
        </w:rPr>
        <w:t>Blocco XXII — L'integrazione economica e militare nel santuario paraguaiano</w:t>
      </w:r>
    </w:p>
    <w:p>
      <w:pPr>
        <w:spacing w:line="276" w:lineRule="auto" w:after="120" w:before="0"/>
        <w:ind w:firstLine="425"/>
        <w:jc w:val="both"/>
      </w:pPr>
      <w:r>
        <w:rPr>
          <w:rFonts w:ascii="Times New Roman" w:hAnsi="Times New Roman" w:cs="Times New Roman" w:eastAsia="Times New Roman"/>
          <w:b w:val="0"/>
          <w:i w:val="0"/>
          <w:sz w:val="24"/>
        </w:rPr>
        <w:t>Il materiale conferito documenta che i quadri di Ordine Nuovo stabilitisi in Paraguay non condussero latitanza passiva: uno di essi fondo un'associazione sportiva di paracadutismo che fungeva da copertura per l'addestramento tattico di truppe locali; entrambi i vertici mossero capitali investendoli in attivita commerciali e nell'acquisto di tenute agricole nella regione del Chaco.</w:t>
      </w:r>
    </w:p>
    <w:p>
      <w:pPr>
        <w:spacing w:line="276" w:lineRule="auto" w:after="120" w:before="0"/>
        <w:ind w:firstLine="425"/>
        <w:jc w:val="both"/>
      </w:pPr>
      <w:r>
        <w:rPr>
          <w:rFonts w:ascii="Times New Roman" w:hAnsi="Times New Roman" w:cs="Times New Roman" w:eastAsia="Times New Roman"/>
          <w:b w:val="0"/>
          <w:i w:val="0"/>
          <w:sz w:val="24"/>
        </w:rPr>
        <w:t xml:space="preserve">Il registro acquisisce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la ricostruzione, attestata dalla letteratura specialistica, e ne rileva la corrispondenza puntuale con il pattern gia documentato nella sezione sulla diaspora per i soggetti tedeschi nel medesimo teatro: impiego formale, attivita economica dichiarata, servizio reso all'apparato ospitante in cambio di protezione.</w:t>
      </w:r>
    </w:p>
    <w:p>
      <w:pPr>
        <w:spacing w:line="276" w:lineRule="auto" w:after="120" w:before="0"/>
        <w:ind w:firstLine="425"/>
        <w:jc w:val="both"/>
      </w:pPr>
      <w:r>
        <w:rPr>
          <w:rFonts w:ascii="Times New Roman" w:hAnsi="Times New Roman" w:cs="Times New Roman" w:eastAsia="Times New Roman"/>
          <w:b w:val="0"/>
          <w:i w:val="0"/>
          <w:sz w:val="24"/>
        </w:rPr>
        <w:t>La corrispondenza e significativa perche riguarda soggetti di provenienza, generazione e nazionalita diverse nel medesimo paese ospitante, e depone percio a favore della spiegazione strutturale anziche di quella che riconduce il fenomeno alle caratteristiche dei soggetti. E il regime ospitante a determinare la forma dell'integrazione, non la provenienza dell'ospitato.</w:t>
      </w:r>
    </w:p>
    <w:p>
      <w:pPr>
        <w:spacing w:line="276" w:lineRule="auto" w:after="120" w:before="0"/>
        <w:ind w:firstLine="425"/>
        <w:jc w:val="both"/>
      </w:pPr>
      <w:r>
        <w:rPr>
          <w:rFonts w:ascii="Times New Roman" w:hAnsi="Times New Roman" w:cs="Times New Roman" w:eastAsia="Times New Roman"/>
          <w:b w:val="0"/>
          <w:i w:val="0"/>
          <w:sz w:val="24"/>
        </w:rPr>
        <w:t xml:space="preserve">Il registro formula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la proposizione secondo cui la forma dell'integrazione dei latitanti politici e determinata dalla struttura del regime ospitante e non dal profilo del latitante, e ne designa il falsificatore nella dimostrazione di forme di integrazione significativamente divergenti fra soggetti di provenienza diversa ospitati dal medesimo regime nel medesimo periodo.</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formula al grado </w:t>
      </w:r>
      <w:r>
        <w:rPr>
          <w:rFonts w:ascii="Times New Roman" w:hAnsi="Times New Roman" w:cs="Times New Roman" w:eastAsia="Times New Roman"/>
          <w:b/>
          <w:i/>
          <w:sz w:val="22"/>
        </w:rPr>
        <w:t>B</w:t>
      </w:r>
      <w:r>
        <w:rPr>
          <w:rFonts w:ascii="Times New Roman" w:hAnsi="Times New Roman" w:cs="Times New Roman" w:eastAsia="Times New Roman"/>
          <w:b w:val="0"/>
          <w:i/>
          <w:sz w:val="22"/>
        </w:rPr>
        <w:t xml:space="preserve"> la determinazione della forma di integrazione da parte del regime ospitante anziche del profilo del latitante, sulla base della corrispondenza fra pattern relativi a soggetti di provenienza e generazione diverse nel medesimo teatro.</w:t>
      </w:r>
    </w:p>
    <w:p>
      <w:pPr>
        <w:spacing w:line="276" w:lineRule="auto" w:after="160" w:before="240"/>
        <w:jc w:val="left"/>
      </w:pPr>
      <w:r>
        <w:rPr>
          <w:rFonts w:ascii="Times New Roman" w:hAnsi="Times New Roman" w:cs="Times New Roman" w:eastAsia="Times New Roman"/>
          <w:b/>
          <w:i w:val="0"/>
          <w:sz w:val="26"/>
        </w:rPr>
        <w:t>Blocco XXIII — L'esportazione della dottrina di controinsurrezione</w:t>
      </w:r>
    </w:p>
    <w:p>
      <w:pPr>
        <w:spacing w:line="276" w:lineRule="auto" w:after="120" w:before="0"/>
        <w:ind w:firstLine="425"/>
        <w:jc w:val="both"/>
      </w:pPr>
      <w:r>
        <w:rPr>
          <w:rFonts w:ascii="Times New Roman" w:hAnsi="Times New Roman" w:cs="Times New Roman" w:eastAsia="Times New Roman"/>
          <w:b w:val="0"/>
          <w:i w:val="0"/>
          <w:sz w:val="24"/>
        </w:rPr>
        <w:t>Il materiale conferito afferma che le tecniche impiegate dagli squadroni della morte latinoamericani derivarono dalle operazioni psicologiche francesi in Algeria, perfezionate dall'organizzazione clandestina francese e trasferite nel Cono Sud dai reduci della centrale di Lisbona.</w:t>
      </w:r>
    </w:p>
    <w:p>
      <w:pPr>
        <w:spacing w:line="276" w:lineRule="auto" w:after="120" w:before="0"/>
        <w:ind w:firstLine="425"/>
        <w:jc w:val="both"/>
      </w:pPr>
      <w:r>
        <w:rPr>
          <w:rFonts w:ascii="Times New Roman" w:hAnsi="Times New Roman" w:cs="Times New Roman" w:eastAsia="Times New Roman"/>
          <w:b w:val="0"/>
          <w:i w:val="0"/>
          <w:sz w:val="24"/>
        </w:rPr>
        <w:t xml:space="preserve">Il registro scompone l'affermazione in tre proposizioni con gradi distinti. La derivazione della dottrina di controinsurrezione latinoamericana dall'esperienza francese, per il tramite di consiglieri militari francesi presenti in Argentina, e acquisita al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essendo materia di letteratura accademica consolidata e di riconoscimenti ufficiali. La partecipazione di reduci della medesima area all'ambiente sudamericano e acquisita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L'affermazione che il trasferimento sia avvenuto specificamente per il tramite della centrale di Lisbona e collocata al grado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poiche l'esistenza di due canali documentati — quello dei consiglieri militari e quello dei reduci privati — impone di attribuire a ciascuno la propria quota, e il materiale non lo fa.</w:t>
      </w:r>
    </w:p>
    <w:p>
      <w:pPr>
        <w:spacing w:line="276" w:lineRule="auto" w:after="120" w:before="0"/>
        <w:ind w:firstLine="425"/>
        <w:jc w:val="both"/>
      </w:pPr>
      <w:r>
        <w:rPr>
          <w:rFonts w:ascii="Times New Roman" w:hAnsi="Times New Roman" w:cs="Times New Roman" w:eastAsia="Times New Roman"/>
          <w:b w:val="0"/>
          <w:i w:val="0"/>
          <w:sz w:val="24"/>
        </w:rPr>
        <w:t>Il registro rileva che si e in presenza di un caso tipico di attribuzione per sovrapposizione: due canali reali, il primo istituzionale e maggiore, il secondo privato e minore, vengono collassati in uno solo, e l'effetto complessivo viene attribuito al secondo perche narrativamente piu significativo. La correzione consiste nel restituire al canale istituzionale la sua quota, che la letteratura accademica documenta come prevalente.</w:t>
      </w:r>
    </w:p>
    <w:p>
      <w:pPr>
        <w:spacing w:line="276" w:lineRule="auto" w:after="120" w:before="0"/>
        <w:ind w:firstLine="425"/>
        <w:jc w:val="both"/>
      </w:pPr>
      <w:r>
        <w:rPr>
          <w:rFonts w:ascii="Times New Roman" w:hAnsi="Times New Roman" w:cs="Times New Roman" w:eastAsia="Times New Roman"/>
          <w:b w:val="0"/>
          <w:i w:val="0"/>
          <w:sz w:val="24"/>
        </w:rPr>
        <w:t>La correzione non riduce la gravita del quadro: sposta la responsabilita principale dal terrorismo privato alla cooperazione militare fra Stati, che e attore piu potente e meglio documentato.</w:t>
      </w:r>
    </w:p>
    <w:p>
      <w:pPr>
        <w:spacing w:line="276" w:lineRule="auto" w:after="240" w:before="0"/>
        <w:ind w:firstLine="425"/>
        <w:jc w:val="both"/>
      </w:pPr>
      <w:r>
        <w:rPr>
          <w:rFonts w:ascii="Times New Roman" w:hAnsi="Times New Roman" w:cs="Times New Roman" w:eastAsia="Times New Roman"/>
          <w:b w:val="0"/>
          <w:i/>
          <w:sz w:val="22"/>
        </w:rPr>
        <w:t>Sintesi del dato nuovo acquisito: si corregge l'attribuzione per sovrapposizione fra canale istituzionale e canale privato nella trasmissione della dottrina di controinsurrezione, restituendo al primo la quota prevalente documentata dalla letteratura accademica.</w:t>
      </w:r>
    </w:p>
    <w:p>
      <w:pPr>
        <w:spacing w:line="276" w:lineRule="auto" w:after="160" w:before="240"/>
        <w:jc w:val="left"/>
      </w:pPr>
      <w:r>
        <w:rPr>
          <w:rFonts w:ascii="Times New Roman" w:hAnsi="Times New Roman" w:cs="Times New Roman" w:eastAsia="Times New Roman"/>
          <w:b/>
          <w:i w:val="0"/>
          <w:sz w:val="26"/>
        </w:rPr>
        <w:t>Blocco XXIV — Il sanctions busting e la duplicita del ruolo italiano</w:t>
      </w:r>
    </w:p>
    <w:p>
      <w:pPr>
        <w:spacing w:line="276" w:lineRule="auto" w:after="120" w:before="0"/>
        <w:ind w:firstLine="425"/>
        <w:jc w:val="both"/>
      </w:pPr>
      <w:r>
        <w:rPr>
          <w:rFonts w:ascii="Times New Roman" w:hAnsi="Times New Roman" w:cs="Times New Roman" w:eastAsia="Times New Roman"/>
          <w:b w:val="0"/>
          <w:i w:val="0"/>
          <w:sz w:val="24"/>
        </w:rPr>
        <w:t>Il materiale conferito attribuisce all'Italia un ruolo duplice nel teatro dell'Africa australe: la fornitura industriale in elusione dell'embargo internazionale del millenovecentosettantasette, e la funzione di canale finanziario e diplomatico ombra.</w:t>
      </w:r>
    </w:p>
    <w:p>
      <w:pPr>
        <w:spacing w:line="276" w:lineRule="auto" w:after="120" w:before="0"/>
        <w:ind w:firstLine="425"/>
        <w:jc w:val="both"/>
      </w:pPr>
      <w:r>
        <w:rPr>
          <w:rFonts w:ascii="Times New Roman" w:hAnsi="Times New Roman" w:cs="Times New Roman" w:eastAsia="Times New Roman"/>
          <w:b w:val="0"/>
          <w:i w:val="0"/>
          <w:sz w:val="24"/>
        </w:rPr>
        <w:t xml:space="preserve">Il registro acquisisce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la fornitura industriale, che e materia di letteratura specialistica e di documentazione parlamentare parziale, e ne segnala il rilievo strutturale: essa configura un arco fra il dominio economico e il dominio delle relazioni internazionali che non passa per la decisione politica formale, essendo l'Italia formalmente aderente all'embargo.</w:t>
      </w:r>
    </w:p>
    <w:p>
      <w:pPr>
        <w:spacing w:line="276" w:lineRule="auto" w:after="120" w:before="0"/>
        <w:ind w:firstLine="425"/>
        <w:jc w:val="both"/>
      </w:pPr>
      <w:r>
        <w:rPr>
          <w:rFonts w:ascii="Times New Roman" w:hAnsi="Times New Roman" w:cs="Times New Roman" w:eastAsia="Times New Roman"/>
          <w:b w:val="0"/>
          <w:i w:val="0"/>
          <w:sz w:val="24"/>
        </w:rPr>
        <w:t>La configurazione e analiticamente identica a quella gia documentata al blocco diciannovesimo per la diplomazia parallela: in entrambi i casi un canale reale opera in senso contrario alla posizione ufficiale dello Stato senza che questa venga modificata. Il registro riconosce qui la quarta variante del meccanismo della conformita formale senza mutamento di condotta, gia tipizzato nella sezione sulla diaspora in tre varianti, e la aggiunge alla tipologia.</w:t>
      </w:r>
    </w:p>
    <w:p>
      <w:pPr>
        <w:spacing w:line="276" w:lineRule="auto" w:after="120" w:before="0"/>
        <w:ind w:firstLine="425"/>
        <w:jc w:val="both"/>
      </w:pPr>
      <w:r>
        <w:rPr>
          <w:rFonts w:ascii="Times New Roman" w:hAnsi="Times New Roman" w:cs="Times New Roman" w:eastAsia="Times New Roman"/>
          <w:b w:val="0"/>
          <w:i w:val="0"/>
          <w:sz w:val="24"/>
        </w:rPr>
        <w:t>La nuova variante e denominata elusione operativa e si distingue dalle precedenti per la sede: le prime tre operavano sulla base documentale, sulla categoria giuridica e sulla maggioranza politica; questa opera sulla catena di fornitura, cioe interamente al di fuori dell'ordinamento che dichiara di rispettare.</w:t>
      </w:r>
    </w:p>
    <w:p>
      <w:pPr>
        <w:spacing w:line="276" w:lineRule="auto" w:after="120" w:before="0"/>
        <w:ind w:firstLine="425"/>
        <w:jc w:val="both"/>
      </w:pPr>
      <w:r>
        <w:rPr>
          <w:rFonts w:ascii="Times New Roman" w:hAnsi="Times New Roman" w:cs="Times New Roman" w:eastAsia="Times New Roman"/>
          <w:b w:val="0"/>
          <w:i w:val="0"/>
          <w:sz w:val="24"/>
        </w:rPr>
        <w:t>Il registro iscrive in Tavola Unica, a rimediabilita media, il censimento delle autorizzazioni all'esportazione rilasciate nel periodo dell'embargo, quale sede documentale determinata e in parte accessibile.</w:t>
      </w:r>
    </w:p>
    <w:p>
      <w:pPr>
        <w:spacing w:line="276" w:lineRule="auto" w:after="240" w:before="0"/>
        <w:ind w:firstLine="425"/>
        <w:jc w:val="both"/>
      </w:pPr>
      <w:r>
        <w:rPr>
          <w:rFonts w:ascii="Times New Roman" w:hAnsi="Times New Roman" w:cs="Times New Roman" w:eastAsia="Times New Roman"/>
          <w:b w:val="0"/>
          <w:i/>
          <w:sz w:val="22"/>
        </w:rPr>
        <w:t>Sintesi del dato nuovo acquisito: si aggiunge alla tipologia la quarta variante del meccanismo della conformita formale, denominata elusione operativa, distinta per sede in quanto operante sulla catena di fornitura, e si iscrive il relativo censimento documentale.</w:t>
      </w:r>
    </w:p>
    <w:p>
      <w:pPr>
        <w:spacing w:line="276" w:lineRule="auto" w:after="160" w:before="240"/>
        <w:jc w:val="left"/>
      </w:pPr>
      <w:r>
        <w:rPr>
          <w:rFonts w:ascii="Times New Roman" w:hAnsi="Times New Roman" w:cs="Times New Roman" w:eastAsia="Times New Roman"/>
          <w:b/>
          <w:i w:val="0"/>
          <w:sz w:val="26"/>
        </w:rPr>
        <w:t>Blocco XXV — Ricomposizione del nodo boliviano</w:t>
      </w:r>
    </w:p>
    <w:p>
      <w:pPr>
        <w:spacing w:line="276" w:lineRule="auto" w:after="120" w:before="0"/>
        <w:ind w:firstLine="425"/>
        <w:jc w:val="both"/>
      </w:pPr>
      <w:r>
        <w:rPr>
          <w:rFonts w:ascii="Times New Roman" w:hAnsi="Times New Roman" w:cs="Times New Roman" w:eastAsia="Times New Roman"/>
          <w:b w:val="0"/>
          <w:i w:val="0"/>
          <w:sz w:val="24"/>
        </w:rPr>
        <w:t>Il blocco ricompone, con il materiale ora conferito, il nodo gia qualificato nella sezione sulla diaspora come punto di massima intermediazione del grafo federato.</w:t>
      </w:r>
    </w:p>
    <w:p>
      <w:pPr>
        <w:spacing w:line="276" w:lineRule="auto" w:after="120" w:before="0"/>
        <w:ind w:firstLine="425"/>
        <w:jc w:val="both"/>
      </w:pPr>
      <w:r>
        <w:rPr>
          <w:rFonts w:ascii="Times New Roman" w:hAnsi="Times New Roman" w:cs="Times New Roman" w:eastAsia="Times New Roman"/>
          <w:b w:val="0"/>
          <w:i w:val="0"/>
          <w:sz w:val="24"/>
        </w:rPr>
        <w:t xml:space="preserve">Gli elementi ora disponibili sono i seguenti: l'evento del luglio millenovecentottanta; la partecipazione documentata dell'esponente italiano di Avanguardia Nazionale, attestata da sua deposizione a commissione parlamentare italiana nel millenovecentonovantasette; la presenza dell'ex funzionario della Gestapo esfiltrato e reclutato dal controspionaggio statunitense, gia acquisita al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l'intervento di una struttura dell'apparato di intelligence militare argentino; e la milizia paramilitare costituita in loco.</w:t>
      </w:r>
    </w:p>
    <w:p>
      <w:pPr>
        <w:spacing w:line="276" w:lineRule="auto" w:after="120" w:before="0"/>
        <w:ind w:firstLine="425"/>
        <w:jc w:val="both"/>
      </w:pPr>
      <w:r>
        <w:rPr>
          <w:rFonts w:ascii="Times New Roman" w:hAnsi="Times New Roman" w:cs="Times New Roman" w:eastAsia="Times New Roman"/>
          <w:b w:val="0"/>
          <w:i w:val="0"/>
          <w:sz w:val="24"/>
        </w:rPr>
        <w:t xml:space="preserve">Il registro conferma il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della composizione complessiva e precisa la qualificazione. Si documenta la convergenza in un singolo evento di quattro filiere di origine distinta: la diaspora nazionalsocialista, l'eversione neofascista europea nella sua declinazione atlantista, l'apparato militare di uno Stato del Cono Sud e l'economia illecita del narcotraffico che dell'evento costituisce il movente prevalente secondo la denominazione con cui e correntemente indicato.</w:t>
      </w:r>
    </w:p>
    <w:p>
      <w:pPr>
        <w:spacing w:line="276" w:lineRule="auto" w:after="120" w:before="0"/>
        <w:ind w:firstLine="425"/>
        <w:jc w:val="both"/>
      </w:pPr>
      <w:r>
        <w:rPr>
          <w:rFonts w:ascii="Times New Roman" w:hAnsi="Times New Roman" w:cs="Times New Roman" w:eastAsia="Times New Roman"/>
          <w:b w:val="0"/>
          <w:i w:val="0"/>
          <w:sz w:val="24"/>
        </w:rPr>
        <w:t>La quarta filiera merita rilievo autonomo perche non compariva nella ricostruzione precedente: essa introduce nel nodo il dominio della criminalita organizzata, e converte l'evento da nodo a tre domini a nodo a quattro domini, il che ne accresce ulteriormente la centralita di intermediazione.</w:t>
      </w:r>
    </w:p>
    <w:p>
      <w:pPr>
        <w:spacing w:line="276" w:lineRule="auto" w:after="120" w:before="0"/>
        <w:ind w:firstLine="425"/>
        <w:jc w:val="both"/>
      </w:pPr>
      <w:r>
        <w:rPr>
          <w:rFonts w:ascii="Times New Roman" w:hAnsi="Times New Roman" w:cs="Times New Roman" w:eastAsia="Times New Roman"/>
          <w:b w:val="0"/>
          <w:i w:val="0"/>
          <w:sz w:val="24"/>
        </w:rPr>
        <w:t>Il registro ribadisce il divieto di postulare dal nodo una struttura unitaria permanente, e segnala che la convergenza documentata in un singolo evento e proposizione compatibile con la tesi della biforcazione, poiche tutti gli attori del nodo appartengono alla filiera atlantista o ne sono committenti.</w:t>
      </w:r>
    </w:p>
    <w:p>
      <w:pPr>
        <w:spacing w:line="276" w:lineRule="auto" w:after="240" w:before="0"/>
        <w:ind w:firstLine="425"/>
        <w:jc w:val="both"/>
      </w:pPr>
      <w:r>
        <w:rPr>
          <w:rFonts w:ascii="Times New Roman" w:hAnsi="Times New Roman" w:cs="Times New Roman" w:eastAsia="Times New Roman"/>
          <w:b w:val="0"/>
          <w:i/>
          <w:sz w:val="22"/>
        </w:rPr>
        <w:t>Sintesi del dato nuovo acquisito: si converte il nodo boliviano da convergenza a tre domini a convergenza a quattro domini con l'introduzione del dominio della criminalita organizzata, e se ne verifica la compatibilita con la tesi della biforcazione.</w:t>
      </w:r>
    </w:p>
    <w:p>
      <w:pPr>
        <w:spacing w:line="276" w:lineRule="auto" w:after="160" w:before="240"/>
        <w:jc w:val="left"/>
      </w:pPr>
      <w:r>
        <w:rPr>
          <w:rFonts w:ascii="Times New Roman" w:hAnsi="Times New Roman" w:cs="Times New Roman" w:eastAsia="Times New Roman"/>
          <w:b/>
          <w:i w:val="0"/>
          <w:sz w:val="26"/>
        </w:rPr>
        <w:t>Blocco XXVI — Bilancio della prima filiera e stato dei falsificatori</w:t>
      </w:r>
    </w:p>
    <w:p>
      <w:pPr>
        <w:spacing w:line="276" w:lineRule="auto" w:after="120" w:before="0"/>
        <w:ind w:firstLine="425"/>
        <w:jc w:val="both"/>
      </w:pPr>
      <w:r>
        <w:rPr>
          <w:rFonts w:ascii="Times New Roman" w:hAnsi="Times New Roman" w:cs="Times New Roman" w:eastAsia="Times New Roman"/>
          <w:b w:val="0"/>
          <w:i w:val="0"/>
          <w:sz w:val="24"/>
        </w:rPr>
        <w:t>Il blocco chiude la trattazione della prima filiera con il bilancio dei gradi attribuiti.</w:t>
      </w:r>
    </w:p>
    <w:p>
      <w:pPr>
        <w:spacing w:line="276" w:lineRule="auto" w:after="120" w:before="0"/>
        <w:ind w:firstLine="425"/>
        <w:jc w:val="both"/>
      </w:pPr>
      <w:r>
        <w:rPr>
          <w:rFonts w:ascii="Times New Roman" w:hAnsi="Times New Roman" w:cs="Times New Roman" w:eastAsia="Times New Roman"/>
          <w:b w:val="0"/>
          <w:i w:val="0"/>
          <w:sz w:val="24"/>
        </w:rPr>
        <w:t xml:space="preserve">Sono acquisiti al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l'esistenza e la sede dei consessi internazionali; l'attentato romano contro l'esponente politico cileno con le relative condanne; la derivazione della dottrina di controinsurrezione dall'esperienza francese per il tramite dei consiglieri militari; e i fatti gia federati al registro nelle sezioni precedenti relativi alla centrale di Lisbona e agli espatri.</w:t>
      </w:r>
    </w:p>
    <w:p>
      <w:pPr>
        <w:spacing w:line="276" w:lineRule="auto" w:after="120" w:before="0"/>
        <w:ind w:firstLine="425"/>
        <w:jc w:val="both"/>
      </w:pPr>
      <w:r>
        <w:rPr>
          <w:rFonts w:ascii="Times New Roman" w:hAnsi="Times New Roman" w:cs="Times New Roman" w:eastAsia="Times New Roman"/>
          <w:b w:val="0"/>
          <w:i w:val="0"/>
          <w:sz w:val="24"/>
        </w:rPr>
        <w:t xml:space="preserve">Sono acquisiti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la presenza degli esponenti italiani ai consessi; la ripartizione dei santuari e la sua ragione relazionale; l'accreditamento reciproco e la registrazione archivistica sotto alias; l'integrazione economica nel teatro paraguaiano; la presenza di nominativi argentini negli elenchi della loggia; la fornitura industriale in elusione dell'embargo; e la composizione complessiva del nodo boliviano.</w:t>
      </w:r>
    </w:p>
    <w:p>
      <w:pPr>
        <w:spacing w:line="276" w:lineRule="auto" w:after="120" w:before="0"/>
        <w:ind w:firstLine="425"/>
        <w:jc w:val="both"/>
      </w:pPr>
      <w:r>
        <w:rPr>
          <w:rFonts w:ascii="Times New Roman" w:hAnsi="Times New Roman" w:cs="Times New Roman" w:eastAsia="Times New Roman"/>
          <w:b w:val="0"/>
          <w:i w:val="0"/>
          <w:sz w:val="24"/>
        </w:rPr>
        <w:t xml:space="preserve">Sono collocati al grado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le quantificazioni dei delegati ai consessi; lo specifico incontro bilaterale di Buenos Aires; l'attribuzione alla sola centrale di Lisbona del trasferimento della dottrina; e la qualificazione della loggia come holding di traffici sulla scorta di fonte informativa unica di paese terzo.</w:t>
      </w:r>
    </w:p>
    <w:p>
      <w:pPr>
        <w:spacing w:line="276" w:lineRule="auto" w:after="120" w:before="0"/>
        <w:ind w:firstLine="425"/>
        <w:jc w:val="both"/>
      </w:pPr>
      <w:r>
        <w:rPr>
          <w:rFonts w:ascii="Times New Roman" w:hAnsi="Times New Roman" w:cs="Times New Roman" w:eastAsia="Times New Roman"/>
          <w:b w:val="0"/>
          <w:i w:val="0"/>
          <w:sz w:val="24"/>
        </w:rPr>
        <w:t xml:space="preserve">Il falsificatore designato per la tesi della biforcazione risulta, all'esito della trattazione, non soddisfatto: nessuno degli atti qui esaminati coinvolge esponenti della filiera antiatlantista, e la separazione osservata regge sull'intero campione conferito. Il registro ribadisce tuttavia che cio non eleva la tesi oltre il grado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xml:space="preserve"> stabilito al blocco decimo, per la ragione logica ivi enunciata.</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consolida il bilancio dei gradi della prima filiera in quattro acquisizioni di grado </w:t>
      </w:r>
      <w:r>
        <w:rPr>
          <w:rFonts w:ascii="Times New Roman" w:hAnsi="Times New Roman" w:cs="Times New Roman" w:eastAsia="Times New Roman"/>
          <w:b/>
          <w:i/>
          <w:sz w:val="22"/>
        </w:rPr>
        <w:t>A</w:t>
      </w:r>
      <w:r>
        <w:rPr>
          <w:rFonts w:ascii="Times New Roman" w:hAnsi="Times New Roman" w:cs="Times New Roman" w:eastAsia="Times New Roman"/>
          <w:b w:val="0"/>
          <w:i/>
          <w:sz w:val="22"/>
        </w:rPr>
        <w:t xml:space="preserve">, sette di grado </w:t>
      </w:r>
      <w:r>
        <w:rPr>
          <w:rFonts w:ascii="Times New Roman" w:hAnsi="Times New Roman" w:cs="Times New Roman" w:eastAsia="Times New Roman"/>
          <w:b/>
          <w:i/>
          <w:sz w:val="22"/>
        </w:rPr>
        <w:t>B</w:t>
      </w:r>
      <w:r>
        <w:rPr>
          <w:rFonts w:ascii="Times New Roman" w:hAnsi="Times New Roman" w:cs="Times New Roman" w:eastAsia="Times New Roman"/>
          <w:b w:val="0"/>
          <w:i/>
          <w:sz w:val="22"/>
        </w:rPr>
        <w:t xml:space="preserve"> e quattro collocazioni al grado </w:t>
      </w:r>
      <w:r>
        <w:rPr>
          <w:rFonts w:ascii="Times New Roman" w:hAnsi="Times New Roman" w:cs="Times New Roman" w:eastAsia="Times New Roman"/>
          <w:b/>
          <w:i/>
          <w:sz w:val="22"/>
        </w:rPr>
        <w:t>C</w:t>
      </w:r>
      <w:r>
        <w:rPr>
          <w:rFonts w:ascii="Times New Roman" w:hAnsi="Times New Roman" w:cs="Times New Roman" w:eastAsia="Times New Roman"/>
          <w:b w:val="0"/>
          <w:i/>
          <w:sz w:val="22"/>
        </w:rPr>
        <w:t>, con conferma della non soddisfazione del falsificatore della biforcazione e del suo grado invariato.</w:t>
      </w:r>
    </w:p>
    <w:p>
      <w:pPr>
        <w:spacing w:line="276" w:lineRule="auto" w:after="160" w:before="240"/>
        <w:jc w:val="left"/>
      </w:pPr>
      <w:r>
        <w:rPr>
          <w:rFonts w:ascii="Times New Roman" w:hAnsi="Times New Roman" w:cs="Times New Roman" w:eastAsia="Times New Roman"/>
          <w:b/>
          <w:i w:val="0"/>
          <w:sz w:val="26"/>
        </w:rPr>
        <w:t>Blocco XXVII — Statuto del rapporto sul caso Moro e sue omissioni</w:t>
      </w:r>
    </w:p>
    <w:p>
      <w:pPr>
        <w:spacing w:line="276" w:lineRule="auto" w:after="120" w:before="0"/>
        <w:ind w:firstLine="425"/>
        <w:jc w:val="both"/>
      </w:pPr>
      <w:r>
        <w:rPr>
          <w:rFonts w:ascii="Times New Roman" w:hAnsi="Times New Roman" w:cs="Times New Roman" w:eastAsia="Times New Roman"/>
          <w:b w:val="0"/>
          <w:i w:val="0"/>
          <w:sz w:val="24"/>
        </w:rPr>
        <w:t>Il materiale conferito comprende un rapporto in undici capitoli che applica dichiaratamente la medesima metodologia del presente progetto, con riferimento ai dieci domini, all'accoppiamento strutturale e alla scala probatoria. Il registro rileva la coincidenza metodologica e ne trae la conseguenza prescritta dalla regola secondo cui i prodotti del lavoro non sono fonti del lavoro: il rapporto non e acquisito come fonte, e i suoi nodi sono valutati uno per uno contro il corpus primario gia federato.</w:t>
      </w:r>
    </w:p>
    <w:p>
      <w:pPr>
        <w:spacing w:line="276" w:lineRule="auto" w:after="120" w:before="0"/>
        <w:ind w:firstLine="425"/>
        <w:jc w:val="both"/>
      </w:pPr>
      <w:r>
        <w:rPr>
          <w:rFonts w:ascii="Times New Roman" w:hAnsi="Times New Roman" w:cs="Times New Roman" w:eastAsia="Times New Roman"/>
          <w:b w:val="0"/>
          <w:i w:val="0"/>
          <w:sz w:val="24"/>
        </w:rPr>
        <w:t>La valutazione produce un esito differenziato che va enunciato subito. Il rapporto e accurato dove riferisce accertamenti giudiziari e parlamentari; e impreciso dove quantifica; ed e reticente dove l'esito e assolutorio o la questione e aperta.</w:t>
      </w:r>
    </w:p>
    <w:p>
      <w:pPr>
        <w:spacing w:line="276" w:lineRule="auto" w:after="120" w:before="0"/>
        <w:ind w:firstLine="425"/>
        <w:jc w:val="both"/>
      </w:pPr>
      <w:r>
        <w:rPr>
          <w:rFonts w:ascii="Times New Roman" w:hAnsi="Times New Roman" w:cs="Times New Roman" w:eastAsia="Times New Roman"/>
          <w:b w:val="0"/>
          <w:i w:val="0"/>
          <w:sz w:val="24"/>
        </w:rPr>
        <w:t>Sono rilevate tre reticenze. La prima riguarda l'omicidio del giornalista, per il quale il rapporto menziona sentenze altalenanti e definitive assoluzioni ma colloca la menzione in posizione subordinata rispetto a un'affermazione di coinvolgimento che l'assoluzione esclude. La seconda riguarda la persona indicata da un collaboratore quale presente all'agguato, il cui mancato interrogatorio formale il rapporto presenta come effetto di coperture anziche come lacuna di grado ignoto. La terza riguarda l'attribuzione del falso comunicato, presentata come accertata mentre e attribuzione investigativa e storiografica non consacrata da sentenza sul punto.</w:t>
      </w:r>
    </w:p>
    <w:p>
      <w:pPr>
        <w:spacing w:line="276" w:lineRule="auto" w:after="120" w:before="0"/>
        <w:ind w:firstLine="425"/>
        <w:jc w:val="both"/>
      </w:pPr>
      <w:r>
        <w:rPr>
          <w:rFonts w:ascii="Times New Roman" w:hAnsi="Times New Roman" w:cs="Times New Roman" w:eastAsia="Times New Roman"/>
          <w:b w:val="0"/>
          <w:i w:val="0"/>
          <w:sz w:val="24"/>
        </w:rPr>
        <w:t>Il registro corregge le tre reticenze nei blocchi corrispondenti e le registra come esempio del meccanismo che la regola del contrasto interno e destinata a prevenire.</w:t>
      </w:r>
    </w:p>
    <w:p>
      <w:pPr>
        <w:spacing w:line="276" w:lineRule="auto" w:after="240" w:before="0"/>
        <w:ind w:firstLine="425"/>
        <w:jc w:val="both"/>
      </w:pPr>
      <w:r>
        <w:rPr>
          <w:rFonts w:ascii="Times New Roman" w:hAnsi="Times New Roman" w:cs="Times New Roman" w:eastAsia="Times New Roman"/>
          <w:b w:val="0"/>
          <w:i/>
          <w:sz w:val="22"/>
        </w:rPr>
        <w:t>Sintesi del dato nuovo acquisito: si stabilisce lo statuto non fontale del rapporto conferito e se ne rilevano tre reticenze determinate, ciascuna corretta in sede propria.</w:t>
      </w:r>
    </w:p>
    <w:p>
      <w:pPr>
        <w:spacing w:line="276" w:lineRule="auto" w:after="160" w:before="240"/>
        <w:jc w:val="left"/>
      </w:pPr>
      <w:r>
        <w:rPr>
          <w:rFonts w:ascii="Times New Roman" w:hAnsi="Times New Roman" w:cs="Times New Roman" w:eastAsia="Times New Roman"/>
          <w:b/>
          <w:i w:val="0"/>
          <w:sz w:val="26"/>
        </w:rPr>
        <w:t>Blocco XXVIII — L'azione statica di via Fani: valutazione della ricostruzione</w:t>
      </w:r>
    </w:p>
    <w:p>
      <w:pPr>
        <w:spacing w:line="276" w:lineRule="auto" w:after="120" w:before="0"/>
        <w:ind w:firstLine="425"/>
        <w:jc w:val="both"/>
      </w:pPr>
      <w:r>
        <w:rPr>
          <w:rFonts w:ascii="Times New Roman" w:hAnsi="Times New Roman" w:cs="Times New Roman" w:eastAsia="Times New Roman"/>
          <w:b w:val="0"/>
          <w:i w:val="0"/>
          <w:sz w:val="24"/>
        </w:rPr>
        <w:t>Il rapporto conferito sostiene che nessuno dei testimoni oculari abbia descritto un attacco ad autovetture in movimento, e che le evidenze balistiche indichino un'azione iniziata dopo l'arresto dei veicoli, provocato dal tamponamento.</w:t>
      </w:r>
    </w:p>
    <w:p>
      <w:pPr>
        <w:spacing w:line="276" w:lineRule="auto" w:after="120" w:before="0"/>
        <w:ind w:firstLine="425"/>
        <w:jc w:val="both"/>
      </w:pPr>
      <w:r>
        <w:rPr>
          <w:rFonts w:ascii="Times New Roman" w:hAnsi="Times New Roman" w:cs="Times New Roman" w:eastAsia="Times New Roman"/>
          <w:b w:val="0"/>
          <w:i w:val="0"/>
          <w:sz w:val="24"/>
        </w:rPr>
        <w:t xml:space="preserve">Il registro acquisisce al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i fatti materiali dell'agguato del sedici marzo millenovecentosettantotto nella loro cornice generale, gia oggetto di sentenze definitive e di relazioni parlamentari. Acquisisce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la ricostruzione della dinamica statica, che e sostenuta dalle relazioni della commissione parlamentare istituita nel duemilaquattordici e da consulenze tecniche acquisite, ma che non ha ricevuto consacrazione giudiziaria autonoma, essendo intervenuta dopo la definitivita dei processi.</w:t>
      </w:r>
    </w:p>
    <w:p>
      <w:pPr>
        <w:spacing w:line="276" w:lineRule="auto" w:after="120" w:before="0"/>
        <w:ind w:firstLine="425"/>
        <w:jc w:val="both"/>
      </w:pPr>
      <w:r>
        <w:rPr>
          <w:rFonts w:ascii="Times New Roman" w:hAnsi="Times New Roman" w:cs="Times New Roman" w:eastAsia="Times New Roman"/>
          <w:b w:val="0"/>
          <w:i w:val="0"/>
          <w:sz w:val="24"/>
        </w:rPr>
        <w:t>Il registro segnala che la distinzione fra verita giudiziaria e verita storica opera qui in forma peculiare: non si tratta di un accertamento giudiziario contraddetto dalla ricerca successiva, ma di un approfondimento tecnico compiuto quando il canale giudiziario era gia chiuso e non poteva percio recepirlo. La categoria applicabile e quella dell'accertamento tardivo non recepibile, e va distinta tanto dalla conferma quanto dalla smentita.</w:t>
      </w:r>
    </w:p>
    <w:p>
      <w:pPr>
        <w:spacing w:line="276" w:lineRule="auto" w:after="120" w:before="0"/>
        <w:ind w:firstLine="425"/>
        <w:jc w:val="both"/>
      </w:pPr>
      <w:r>
        <w:rPr>
          <w:rFonts w:ascii="Times New Roman" w:hAnsi="Times New Roman" w:cs="Times New Roman" w:eastAsia="Times New Roman"/>
          <w:b w:val="0"/>
          <w:i w:val="0"/>
          <w:sz w:val="24"/>
        </w:rPr>
        <w:t xml:space="preserve">L'affermazione relativa alla natura elusiva della ricostruzione fornita da uno degli esecutori confessi e collocata al grado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trattandosi di valutazione e non di accertamento, ancorche valutazione condivisa da piu commissari.</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acquisisce al grado </w:t>
      </w:r>
      <w:r>
        <w:rPr>
          <w:rFonts w:ascii="Times New Roman" w:hAnsi="Times New Roman" w:cs="Times New Roman" w:eastAsia="Times New Roman"/>
          <w:b/>
          <w:i/>
          <w:sz w:val="22"/>
        </w:rPr>
        <w:t>B</w:t>
      </w:r>
      <w:r>
        <w:rPr>
          <w:rFonts w:ascii="Times New Roman" w:hAnsi="Times New Roman" w:cs="Times New Roman" w:eastAsia="Times New Roman"/>
          <w:b w:val="0"/>
          <w:i/>
          <w:sz w:val="22"/>
        </w:rPr>
        <w:t xml:space="preserve"> la ricostruzione della dinamica statica e si formalizza la categoria dell'accertamento tardivo non recepibile, distinta tanto dalla conferma quanto dalla smentita della verita giudiziaria.</w:t>
      </w:r>
    </w:p>
    <w:p>
      <w:pPr>
        <w:spacing w:line="276" w:lineRule="auto" w:after="160" w:before="240"/>
        <w:jc w:val="left"/>
      </w:pPr>
      <w:r>
        <w:rPr>
          <w:rFonts w:ascii="Times New Roman" w:hAnsi="Times New Roman" w:cs="Times New Roman" w:eastAsia="Times New Roman"/>
          <w:b/>
          <w:i w:val="0"/>
          <w:sz w:val="26"/>
        </w:rPr>
        <w:t>Blocco XXIX — Il tiratore non identificato e la repertazione mancata</w:t>
      </w:r>
    </w:p>
    <w:p>
      <w:pPr>
        <w:spacing w:line="276" w:lineRule="auto" w:after="120" w:before="0"/>
        <w:ind w:firstLine="425"/>
        <w:jc w:val="both"/>
      </w:pPr>
      <w:r>
        <w:rPr>
          <w:rFonts w:ascii="Times New Roman" w:hAnsi="Times New Roman" w:cs="Times New Roman" w:eastAsia="Times New Roman"/>
          <w:b w:val="0"/>
          <w:i w:val="0"/>
          <w:sz w:val="24"/>
        </w:rPr>
        <w:t>Il rapporto conferito sostiene che un tiratore non identificato dagli esecutori confessi abbia operato dal lato destro della carreggiata, esplodendo colpi determinanti, e collega l'affermazione alla mancata repertazione organica dei proiettili rinvenuti nei corpi degli agenti.</w:t>
      </w:r>
    </w:p>
    <w:p>
      <w:pPr>
        <w:spacing w:line="276" w:lineRule="auto" w:after="120" w:before="0"/>
        <w:ind w:firstLine="425"/>
        <w:jc w:val="both"/>
      </w:pPr>
      <w:r>
        <w:rPr>
          <w:rFonts w:ascii="Times New Roman" w:hAnsi="Times New Roman" w:cs="Times New Roman" w:eastAsia="Times New Roman"/>
          <w:b w:val="0"/>
          <w:i w:val="0"/>
          <w:sz w:val="24"/>
        </w:rPr>
        <w:t xml:space="preserve">Il registro scompone. La mancata repertazione sistematica di reperti balistici e circostanza documentata negli atti e nelle relazioni successive, ed e acquisita al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in quanto lacuna procedurale accertata. L'inferenza che da essa discenda la presenza di un tiratore ulteriore e collocata al grado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una lacuna probatoria non prova cio che, se colmata, avrebbe potuto provare, e trattarla altrimenti costituisce inversione dell'onere.</w:t>
      </w:r>
    </w:p>
    <w:p>
      <w:pPr>
        <w:spacing w:line="276" w:lineRule="auto" w:after="120" w:before="0"/>
        <w:ind w:firstLine="425"/>
        <w:jc w:val="both"/>
      </w:pPr>
      <w:r>
        <w:rPr>
          <w:rFonts w:ascii="Times New Roman" w:hAnsi="Times New Roman" w:cs="Times New Roman" w:eastAsia="Times New Roman"/>
          <w:b w:val="0"/>
          <w:i w:val="0"/>
          <w:sz w:val="24"/>
        </w:rPr>
        <w:t>La corretta qualificazione della lacuna secondo la Scala degli Stati Zero e la seguente: si tratta di sottrazione o dispersione di elemento probatorio a fronte di sede determinata, categoria gia riconosciuta dal registro come piu grave della chiusura archivistica istituzionale, e gia documentata per il caso di via Gradoli. La ricorrenza della medesima categoria in due punti distinti della medesima vicenda e essa stessa dato, e va registrata come tale senza che se ne inferisca un agente comune.</w:t>
      </w:r>
    </w:p>
    <w:p>
      <w:pPr>
        <w:spacing w:line="276" w:lineRule="auto" w:after="120" w:before="0"/>
        <w:ind w:firstLine="425"/>
        <w:jc w:val="both"/>
      </w:pPr>
      <w:r>
        <w:rPr>
          <w:rFonts w:ascii="Times New Roman" w:hAnsi="Times New Roman" w:cs="Times New Roman" w:eastAsia="Times New Roman"/>
          <w:b w:val="0"/>
          <w:i w:val="0"/>
          <w:sz w:val="24"/>
        </w:rPr>
        <w:t>Il registro segnala che la questione del numero e della provenienza dei colpi esplosi ha formato oggetto di consulenze divergenti, e che la divergenza va registrata anziche risolta in favore della ricostruzione conferita.</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acquisisce al grado </w:t>
      </w:r>
      <w:r>
        <w:rPr>
          <w:rFonts w:ascii="Times New Roman" w:hAnsi="Times New Roman" w:cs="Times New Roman" w:eastAsia="Times New Roman"/>
          <w:b/>
          <w:i/>
          <w:sz w:val="22"/>
        </w:rPr>
        <w:t>A</w:t>
      </w:r>
      <w:r>
        <w:rPr>
          <w:rFonts w:ascii="Times New Roman" w:hAnsi="Times New Roman" w:cs="Times New Roman" w:eastAsia="Times New Roman"/>
          <w:b w:val="0"/>
          <w:i/>
          <w:sz w:val="22"/>
        </w:rPr>
        <w:t xml:space="preserve"> la lacuna di repertazione come Stato Zero da sottrazione con sede determinata e si colloca al grado </w:t>
      </w:r>
      <w:r>
        <w:rPr>
          <w:rFonts w:ascii="Times New Roman" w:hAnsi="Times New Roman" w:cs="Times New Roman" w:eastAsia="Times New Roman"/>
          <w:b/>
          <w:i/>
          <w:sz w:val="22"/>
        </w:rPr>
        <w:t>C</w:t>
      </w:r>
      <w:r>
        <w:rPr>
          <w:rFonts w:ascii="Times New Roman" w:hAnsi="Times New Roman" w:cs="Times New Roman" w:eastAsia="Times New Roman"/>
          <w:b w:val="0"/>
          <w:i/>
          <w:sz w:val="22"/>
        </w:rPr>
        <w:t xml:space="preserve"> l'inferenza del tiratore ulteriore, registrando la ricorrenza della medesima categoria di lacuna in due punti della vicenda senza inferirne agente comune.</w:t>
      </w:r>
    </w:p>
    <w:p>
      <w:pPr>
        <w:spacing w:line="276" w:lineRule="auto" w:after="160" w:before="240"/>
        <w:jc w:val="left"/>
      </w:pPr>
      <w:r>
        <w:rPr>
          <w:rFonts w:ascii="Times New Roman" w:hAnsi="Times New Roman" w:cs="Times New Roman" w:eastAsia="Times New Roman"/>
          <w:b/>
          <w:i w:val="0"/>
          <w:sz w:val="26"/>
        </w:rPr>
        <w:t>Blocco XXX — Le presenze anomale: la motocicletta e i movimenti radio</w:t>
      </w:r>
    </w:p>
    <w:p>
      <w:pPr>
        <w:spacing w:line="276" w:lineRule="auto" w:after="120" w:before="0"/>
        <w:ind w:firstLine="425"/>
        <w:jc w:val="both"/>
      </w:pPr>
      <w:r>
        <w:rPr>
          <w:rFonts w:ascii="Times New Roman" w:hAnsi="Times New Roman" w:cs="Times New Roman" w:eastAsia="Times New Roman"/>
          <w:b w:val="0"/>
          <w:i w:val="0"/>
          <w:sz w:val="24"/>
        </w:rPr>
        <w:t>Il rapporto conferito riferisce l'avvistamento di una motocicletta con a bordo due soggetti che aprirono il fuoco contro un testimone oculare, e lo spostamento di un'autoradio di commissariato che avrebbe lasciato libero un percorso di fuga.</w:t>
      </w:r>
    </w:p>
    <w:p>
      <w:pPr>
        <w:spacing w:line="276" w:lineRule="auto" w:after="120" w:before="0"/>
        <w:ind w:firstLine="425"/>
        <w:jc w:val="both"/>
      </w:pPr>
      <w:r>
        <w:rPr>
          <w:rFonts w:ascii="Times New Roman" w:hAnsi="Times New Roman" w:cs="Times New Roman" w:eastAsia="Times New Roman"/>
          <w:b w:val="0"/>
          <w:i w:val="0"/>
          <w:sz w:val="24"/>
        </w:rPr>
        <w:t xml:space="preserve">Il registro acquisisce al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l'esistenza della testimonianza sull'episodio della motocicletta, che e agli atti e ha formato oggetto di ripetuta trattazione parlamentare; acquisisce al grado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xml:space="preserve"> l'identificazione dei soggetti a bordo e la loro riconducibilita a un apparato, che restano non accertate; e acquisisce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i movimenti dei mezzi di polizia, documentati negli atti ma di interpretazione controversa.</w:t>
      </w:r>
    </w:p>
    <w:p>
      <w:pPr>
        <w:spacing w:line="276" w:lineRule="auto" w:after="120" w:before="0"/>
        <w:ind w:firstLine="425"/>
        <w:jc w:val="both"/>
      </w:pPr>
      <w:r>
        <w:rPr>
          <w:rFonts w:ascii="Times New Roman" w:hAnsi="Times New Roman" w:cs="Times New Roman" w:eastAsia="Times New Roman"/>
          <w:b w:val="0"/>
          <w:i w:val="0"/>
          <w:sz w:val="24"/>
        </w:rPr>
        <w:t>Il registro formula un rilievo metodologico che vale per l'intera categoria delle presenze anomale. In un evento di tale rilievo, occorso in area urbana in orario di traffico, l'esistenza di elementi non spiegati e statisticamente attesa e non costituisce di per se indizio: qualunque ricostruzione di qualunque evento complesso lascia residui. Cio che ha valore probatorio non e il residuo in se ma la sua struttura, cioe la convergenza di piu residui verso una medesima direzione.</w:t>
      </w:r>
    </w:p>
    <w:p>
      <w:pPr>
        <w:spacing w:line="276" w:lineRule="auto" w:after="120" w:before="0"/>
        <w:ind w:firstLine="425"/>
        <w:jc w:val="both"/>
      </w:pPr>
      <w:r>
        <w:rPr>
          <w:rFonts w:ascii="Times New Roman" w:hAnsi="Times New Roman" w:cs="Times New Roman" w:eastAsia="Times New Roman"/>
          <w:b w:val="0"/>
          <w:i w:val="0"/>
          <w:sz w:val="24"/>
        </w:rPr>
        <w:t xml:space="preserve">Il criterio impone di trattare i residui congiuntamente e non singolarmente, e di valutare se essi convergano. Nel caso in esame la convergenza esiste ed e in direzione di una presenza non brigatista sul teatro, ma il grado complessivo non supera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poiche ciascun elemento e singolarmente incerto e la convergenza di elementi incerti non produce certezza.</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formalizza il criterio secondo cui il residuo esplicativo ha valore probatorio solo in quanto convergente con altri residui, e si stabilisce che la convergenza di elementi singolarmente incerti non eleva il grado oltre </w:t>
      </w:r>
      <w:r>
        <w:rPr>
          <w:rFonts w:ascii="Times New Roman" w:hAnsi="Times New Roman" w:cs="Times New Roman" w:eastAsia="Times New Roman"/>
          <w:b/>
          <w:i/>
          <w:sz w:val="22"/>
        </w:rPr>
        <w:t>C</w:t>
      </w:r>
      <w:r>
        <w:rPr>
          <w:rFonts w:ascii="Times New Roman" w:hAnsi="Times New Roman" w:cs="Times New Roman" w:eastAsia="Times New Roman"/>
          <w:b w:val="0"/>
          <w:i/>
          <w:sz w:val="22"/>
        </w:rPr>
        <w:t>.</w:t>
      </w:r>
    </w:p>
    <w:p>
      <w:pPr>
        <w:spacing w:line="276" w:lineRule="auto" w:after="160" w:before="240"/>
        <w:jc w:val="left"/>
      </w:pPr>
      <w:r>
        <w:rPr>
          <w:rFonts w:ascii="Times New Roman" w:hAnsi="Times New Roman" w:cs="Times New Roman" w:eastAsia="Times New Roman"/>
          <w:b/>
          <w:i w:val="0"/>
          <w:sz w:val="26"/>
        </w:rPr>
        <w:t>Blocco XXXI — La presenza dell'ufficiale del servizio militare</w:t>
      </w:r>
    </w:p>
    <w:p>
      <w:pPr>
        <w:spacing w:line="276" w:lineRule="auto" w:after="120" w:before="0"/>
        <w:ind w:firstLine="425"/>
        <w:jc w:val="both"/>
      </w:pPr>
      <w:r>
        <w:rPr>
          <w:rFonts w:ascii="Times New Roman" w:hAnsi="Times New Roman" w:cs="Times New Roman" w:eastAsia="Times New Roman"/>
          <w:b w:val="0"/>
          <w:i w:val="0"/>
          <w:sz w:val="24"/>
        </w:rPr>
        <w:t>Il rapporto conferito documenta la presenza in prossimita del teatro dell'agguato di un colonnello del servizio informativo militare, esperto di tecniche di imboscata e istruttore presso la base sarda della struttura clandestina atlantica, e riferisce che la giustificazione da lui fornita sarebbe smentita da altra dichiarazione.</w:t>
      </w:r>
    </w:p>
    <w:p>
      <w:pPr>
        <w:spacing w:line="276" w:lineRule="auto" w:after="120" w:before="0"/>
        <w:ind w:firstLine="425"/>
        <w:jc w:val="both"/>
      </w:pPr>
      <w:r>
        <w:rPr>
          <w:rFonts w:ascii="Times New Roman" w:hAnsi="Times New Roman" w:cs="Times New Roman" w:eastAsia="Times New Roman"/>
          <w:b w:val="0"/>
          <w:i w:val="0"/>
          <w:sz w:val="24"/>
        </w:rPr>
        <w:t xml:space="preserve">Il registro acquisisce al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la presenza dell'ufficiale, che egli stesso ha ammesso e che e stata oggetto di audizioni parlamentari; acquisisce al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la sua qualifica e il suo collegamento con la struttura clandestina, resi noti dopo la rivelazione parlamentare di quest'ultima; acquisisce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la circostanza che la giustificazione fornita sia stata contestata da altra fonte.</w:t>
      </w:r>
    </w:p>
    <w:p>
      <w:pPr>
        <w:spacing w:line="276" w:lineRule="auto" w:after="120" w:before="0"/>
        <w:ind w:firstLine="425"/>
        <w:jc w:val="both"/>
      </w:pPr>
      <w:r>
        <w:rPr>
          <w:rFonts w:ascii="Times New Roman" w:hAnsi="Times New Roman" w:cs="Times New Roman" w:eastAsia="Times New Roman"/>
          <w:b w:val="0"/>
          <w:i w:val="0"/>
          <w:sz w:val="24"/>
        </w:rPr>
        <w:t xml:space="preserve">Il registro colloca al grado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xml:space="preserve"> ogni inferenza sul ruolo dell'ufficiale nell'evento. La presenza e acquisita, la spiegazione della presenza non lo e, e fra le due proposizioni non esiste passaggio automatico. Va registrato altresi che la presenza fu resa nota a distanza di oltre un decennio dai fatti, e che il ritardo e esso stesso dato acquisito al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in quanto documentato, indipendentemente dalla sua spiegazione.</w:t>
      </w:r>
    </w:p>
    <w:p>
      <w:pPr>
        <w:spacing w:line="276" w:lineRule="auto" w:after="120" w:before="0"/>
        <w:ind w:firstLine="425"/>
        <w:jc w:val="both"/>
      </w:pPr>
      <w:r>
        <w:rPr>
          <w:rFonts w:ascii="Times New Roman" w:hAnsi="Times New Roman" w:cs="Times New Roman" w:eastAsia="Times New Roman"/>
          <w:b w:val="0"/>
          <w:i w:val="0"/>
          <w:sz w:val="24"/>
        </w:rPr>
        <w:t xml:space="preserve">Il registro formula il rilievo conclusivo del blocco. Il valore analitico del nodo non risiede nella dimostrazione di un coinvolgimento, che non e raggiunta, bensi nella dimostrazione che l'apparato informativo militare disponeva di informazione o presenza non dichiarata alle autorita inquirenti nell'immediatezza, il che e proposizione autonomamente rilevante e di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distingue nettamente fra la presenza acquisita al grado </w:t>
      </w:r>
      <w:r>
        <w:rPr>
          <w:rFonts w:ascii="Times New Roman" w:hAnsi="Times New Roman" w:cs="Times New Roman" w:eastAsia="Times New Roman"/>
          <w:b/>
          <w:i/>
          <w:sz w:val="22"/>
        </w:rPr>
        <w:t>A</w:t>
      </w:r>
      <w:r>
        <w:rPr>
          <w:rFonts w:ascii="Times New Roman" w:hAnsi="Times New Roman" w:cs="Times New Roman" w:eastAsia="Times New Roman"/>
          <w:b w:val="0"/>
          <w:i/>
          <w:sz w:val="22"/>
        </w:rPr>
        <w:t xml:space="preserve"> e la sua spiegazione non acquisita, e si isola come proposizione autonoma di grado </w:t>
      </w:r>
      <w:r>
        <w:rPr>
          <w:rFonts w:ascii="Times New Roman" w:hAnsi="Times New Roman" w:cs="Times New Roman" w:eastAsia="Times New Roman"/>
          <w:b/>
          <w:i/>
          <w:sz w:val="22"/>
        </w:rPr>
        <w:t>B</w:t>
      </w:r>
      <w:r>
        <w:rPr>
          <w:rFonts w:ascii="Times New Roman" w:hAnsi="Times New Roman" w:cs="Times New Roman" w:eastAsia="Times New Roman"/>
          <w:b w:val="0"/>
          <w:i/>
          <w:sz w:val="22"/>
        </w:rPr>
        <w:t xml:space="preserve"> l'esistenza di informazione o presenza non dichiarata dell'apparato militare nell'immediatezza dei fatti.</w:t>
      </w:r>
    </w:p>
    <w:p>
      <w:pPr>
        <w:spacing w:line="276" w:lineRule="auto" w:after="160" w:before="240"/>
        <w:jc w:val="left"/>
      </w:pPr>
      <w:r>
        <w:rPr>
          <w:rFonts w:ascii="Times New Roman" w:hAnsi="Times New Roman" w:cs="Times New Roman" w:eastAsia="Times New Roman"/>
          <w:b/>
          <w:i w:val="0"/>
          <w:sz w:val="26"/>
        </w:rPr>
        <w:t>Blocco XXXII — I proiettili e l'ipotesi della provenienza dai depositi clandestini</w:t>
      </w:r>
    </w:p>
    <w:p>
      <w:pPr>
        <w:spacing w:line="276" w:lineRule="auto" w:after="120" w:before="0"/>
        <w:ind w:firstLine="425"/>
        <w:jc w:val="both"/>
      </w:pPr>
      <w:r>
        <w:rPr>
          <w:rFonts w:ascii="Times New Roman" w:hAnsi="Times New Roman" w:cs="Times New Roman" w:eastAsia="Times New Roman"/>
          <w:b w:val="0"/>
          <w:i w:val="0"/>
          <w:sz w:val="24"/>
        </w:rPr>
        <w:t>Il rapporto conferito afferma che parte dei proiettili esplosi, privi di matricola e dotati di speciale verniciatura, proverrebbe dai depositi clandestini della struttura atlantica, e qualifica il riscontro come forense.</w:t>
      </w:r>
    </w:p>
    <w:p>
      <w:pPr>
        <w:spacing w:line="276" w:lineRule="auto" w:after="120" w:before="0"/>
        <w:ind w:firstLine="425"/>
        <w:jc w:val="both"/>
      </w:pPr>
      <w:r>
        <w:rPr>
          <w:rFonts w:ascii="Times New Roman" w:hAnsi="Times New Roman" w:cs="Times New Roman" w:eastAsia="Times New Roman"/>
          <w:b w:val="0"/>
          <w:i w:val="0"/>
          <w:sz w:val="24"/>
        </w:rPr>
        <w:t xml:space="preserve">Il registro respinge la qualificazione e colloca l'affermazione al grado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xml:space="preserve">. Le caratteristiche descritte del munizionamento sono state effettivamente rilevate e sono acquisite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la loro attribuzione a una specifica origine e inferenza, non riscontro, e richiederebbe la comparazione con campioni certi provenienti dai depositi, che non risulta effettuata.</w:t>
      </w:r>
    </w:p>
    <w:p>
      <w:pPr>
        <w:spacing w:line="276" w:lineRule="auto" w:after="120" w:before="0"/>
        <w:ind w:firstLine="425"/>
        <w:jc w:val="both"/>
      </w:pPr>
      <w:r>
        <w:rPr>
          <w:rFonts w:ascii="Times New Roman" w:hAnsi="Times New Roman" w:cs="Times New Roman" w:eastAsia="Times New Roman"/>
          <w:b w:val="0"/>
          <w:i w:val="0"/>
          <w:sz w:val="24"/>
        </w:rPr>
        <w:t>Il registro segnala il precedente pertinente e lo distingue. Per la strage friulana del millenovecentosettantadue e stata giudizialmente accertata la provenienza dell'esplosivo da un deposito clandestino determinato, ma tale accertamento poggio su un elemento che nel caso in esame manca: l'individuazione fisica del deposito e la confessione dell'autore. La differenza fra i due casi e la differenza fra accertamento e analogia, e va enunciata perche il materiale conferito la elide.</w:t>
      </w:r>
    </w:p>
    <w:p>
      <w:pPr>
        <w:spacing w:line="276" w:lineRule="auto" w:after="120" w:before="0"/>
        <w:ind w:firstLine="425"/>
        <w:jc w:val="both"/>
      </w:pPr>
      <w:r>
        <w:rPr>
          <w:rFonts w:ascii="Times New Roman" w:hAnsi="Times New Roman" w:cs="Times New Roman" w:eastAsia="Times New Roman"/>
          <w:b w:val="0"/>
          <w:i w:val="0"/>
          <w:sz w:val="24"/>
        </w:rPr>
        <w:t>Il registro iscrive in Tavola Unica, a rimediabilita media, la comparazione tecnica fra le caratteristiche del munizionamento repertato e i campioni provenienti dai depositi rinvenuti dopo il millenovecentonovanta, quale operazione tecnicamente eseguibile e non risultante eseguita.</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declassa al grado </w:t>
      </w:r>
      <w:r>
        <w:rPr>
          <w:rFonts w:ascii="Times New Roman" w:hAnsi="Times New Roman" w:cs="Times New Roman" w:eastAsia="Times New Roman"/>
          <w:b/>
          <w:i/>
          <w:sz w:val="22"/>
        </w:rPr>
        <w:t>C</w:t>
      </w:r>
      <w:r>
        <w:rPr>
          <w:rFonts w:ascii="Times New Roman" w:hAnsi="Times New Roman" w:cs="Times New Roman" w:eastAsia="Times New Roman"/>
          <w:b w:val="0"/>
          <w:i/>
          <w:sz w:val="22"/>
        </w:rPr>
        <w:t xml:space="preserve"> l'attribuzione del munizionamento ai depositi clandestini, distinguendo il caso dal precedente friulano per la mancanza dell'individuazione fisica del deposito, e si iscrive la comparazione tecnica fra le lacune rimediabili.</w:t>
      </w:r>
    </w:p>
    <w:p>
      <w:pPr>
        <w:spacing w:line="276" w:lineRule="auto" w:after="160" w:before="240"/>
        <w:jc w:val="left"/>
      </w:pPr>
      <w:r>
        <w:rPr>
          <w:rFonts w:ascii="Times New Roman" w:hAnsi="Times New Roman" w:cs="Times New Roman" w:eastAsia="Times New Roman"/>
          <w:b/>
          <w:i w:val="0"/>
          <w:sz w:val="26"/>
        </w:rPr>
        <w:t>Blocco XXXIII — La dichiarazione sul concorso della criminalita calabrese</w:t>
      </w:r>
    </w:p>
    <w:p>
      <w:pPr>
        <w:spacing w:line="276" w:lineRule="auto" w:after="120" w:before="0"/>
        <w:ind w:firstLine="425"/>
        <w:jc w:val="both"/>
      </w:pPr>
      <w:r>
        <w:rPr>
          <w:rFonts w:ascii="Times New Roman" w:hAnsi="Times New Roman" w:cs="Times New Roman" w:eastAsia="Times New Roman"/>
          <w:b w:val="0"/>
          <w:i w:val="0"/>
          <w:sz w:val="24"/>
        </w:rPr>
        <w:t>Il rapporto conferito riferisce che, secondo dichiarazioni di un collaboratore di giustizia, un esponente apicale di una cosca calabrese sarebbe stato presente al teatro dell'agguato, infiltrato nel commando su input di un generale, e ne trae la certificazione del coinvolgimento della criminalita organizzata nel sequestro.</w:t>
      </w:r>
    </w:p>
    <w:p>
      <w:pPr>
        <w:spacing w:line="276" w:lineRule="auto" w:after="120" w:before="0"/>
        <w:ind w:firstLine="425"/>
        <w:jc w:val="both"/>
      </w:pPr>
      <w:r>
        <w:rPr>
          <w:rFonts w:ascii="Times New Roman" w:hAnsi="Times New Roman" w:cs="Times New Roman" w:eastAsia="Times New Roman"/>
          <w:b w:val="0"/>
          <w:i w:val="0"/>
          <w:sz w:val="24"/>
        </w:rPr>
        <w:t xml:space="preserve">Il registro respinge la qualificazione di certificazione e applica la disciplina rafforzata sulle persone viventi enunciata al blocco terzo. E acquisita al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l'esistenza della dichiarazione del collaboratore, che e agli atti di commissione parlamentare. E collocato al grado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xml:space="preserve"> il fatto dichiarato, non riscontrato e non consacrato da alcun accertamento. Non e acquisita alcuna proposizione ulteriore.</w:t>
      </w:r>
    </w:p>
    <w:p>
      <w:pPr>
        <w:spacing w:line="276" w:lineRule="auto" w:after="120" w:before="0"/>
        <w:ind w:firstLine="425"/>
        <w:jc w:val="both"/>
      </w:pPr>
      <w:r>
        <w:rPr>
          <w:rFonts w:ascii="Times New Roman" w:hAnsi="Times New Roman" w:cs="Times New Roman" w:eastAsia="Times New Roman"/>
          <w:b w:val="0"/>
          <w:i w:val="0"/>
          <w:sz w:val="24"/>
        </w:rPr>
        <w:t>Il registro corregge inoltre la presentazione del mancato interrogatorio formale del soggetto indicato, che il rapporto attribuisce a coperture. La corretta qualificazione e di lacuna di grado ignoto: il mancato compimento di un atto istruttorio ammette una pluralita di spiegazioni, fra cui la valutazione negativa dell'attendibilita della dichiarazione da parte dell'autorita procedente, e l'attribuzione a copertura e una fra queste, non la sola ne la piu parsimoniosa.</w:t>
      </w:r>
    </w:p>
    <w:p>
      <w:pPr>
        <w:spacing w:line="276" w:lineRule="auto" w:after="120" w:before="0"/>
        <w:ind w:firstLine="425"/>
        <w:jc w:val="both"/>
      </w:pPr>
      <w:r>
        <w:rPr>
          <w:rFonts w:ascii="Times New Roman" w:hAnsi="Times New Roman" w:cs="Times New Roman" w:eastAsia="Times New Roman"/>
          <w:b w:val="0"/>
          <w:i w:val="0"/>
          <w:sz w:val="24"/>
        </w:rPr>
        <w:t xml:space="preserve">Il registro segnala che la questione dell'eventuale interlocuzione fra ambienti della criminalita organizzata siciliana e la vicenda del sequestro e stata oggetto di dichiarazioni distinte, anch'esse non riscontrate, e che esse condividono la medesima collocazione al grado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senza che il loro numero produca elevazione, in applicazione della regola sul collasso delle catene.</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separa il grado </w:t>
      </w:r>
      <w:r>
        <w:rPr>
          <w:rFonts w:ascii="Times New Roman" w:hAnsi="Times New Roman" w:cs="Times New Roman" w:eastAsia="Times New Roman"/>
          <w:b/>
          <w:i/>
          <w:sz w:val="22"/>
        </w:rPr>
        <w:t>A</w:t>
      </w:r>
      <w:r>
        <w:rPr>
          <w:rFonts w:ascii="Times New Roman" w:hAnsi="Times New Roman" w:cs="Times New Roman" w:eastAsia="Times New Roman"/>
          <w:b w:val="0"/>
          <w:i/>
          <w:sz w:val="22"/>
        </w:rPr>
        <w:t xml:space="preserve"> dell'esistenza della dichiarazione dal grado </w:t>
      </w:r>
      <w:r>
        <w:rPr>
          <w:rFonts w:ascii="Times New Roman" w:hAnsi="Times New Roman" w:cs="Times New Roman" w:eastAsia="Times New Roman"/>
          <w:b/>
          <w:i/>
          <w:sz w:val="22"/>
        </w:rPr>
        <w:t>C</w:t>
      </w:r>
      <w:r>
        <w:rPr>
          <w:rFonts w:ascii="Times New Roman" w:hAnsi="Times New Roman" w:cs="Times New Roman" w:eastAsia="Times New Roman"/>
          <w:b w:val="0"/>
          <w:i/>
          <w:sz w:val="22"/>
        </w:rPr>
        <w:t xml:space="preserve"> del fatto dichiarato, si riqualifica il mancato atto istruttorio come lacuna di grado ignoto anziche come copertura, e si esclude l'elevazione per accumulo di dichiarazioni non riscontrate.</w:t>
      </w:r>
    </w:p>
    <w:p>
      <w:pPr>
        <w:spacing w:line="276" w:lineRule="auto" w:after="160" w:before="240"/>
        <w:jc w:val="left"/>
      </w:pPr>
      <w:r>
        <w:rPr>
          <w:rFonts w:ascii="Times New Roman" w:hAnsi="Times New Roman" w:cs="Times New Roman" w:eastAsia="Times New Roman"/>
          <w:b/>
          <w:i w:val="0"/>
          <w:sz w:val="26"/>
        </w:rPr>
        <w:t>Blocco XXXIV — Il falso comunicato e la funzione del depistaggio</w:t>
      </w:r>
    </w:p>
    <w:p>
      <w:pPr>
        <w:spacing w:line="276" w:lineRule="auto" w:after="120" w:before="0"/>
        <w:ind w:firstLine="425"/>
        <w:jc w:val="both"/>
      </w:pPr>
      <w:r>
        <w:rPr>
          <w:rFonts w:ascii="Times New Roman" w:hAnsi="Times New Roman" w:cs="Times New Roman" w:eastAsia="Times New Roman"/>
          <w:b w:val="0"/>
          <w:i w:val="0"/>
          <w:sz w:val="24"/>
        </w:rPr>
        <w:t>Il rapporto conferito attribuisce a un falsario legato all'ambiente criminale romano la redazione del falso comunicato che annuncio l'esecuzione dell'ostaggio e ne collocava il corpo in un lago montano, e rileva che il conseguente dispiegamento di ricerche distolse le forze di polizia nel momento in cui la base brigatista rischiava di essere scoperta.</w:t>
      </w:r>
    </w:p>
    <w:p>
      <w:pPr>
        <w:spacing w:line="276" w:lineRule="auto" w:after="120" w:before="0"/>
        <w:ind w:firstLine="425"/>
        <w:jc w:val="both"/>
      </w:pPr>
      <w:r>
        <w:rPr>
          <w:rFonts w:ascii="Times New Roman" w:hAnsi="Times New Roman" w:cs="Times New Roman" w:eastAsia="Times New Roman"/>
          <w:b w:val="0"/>
          <w:i w:val="0"/>
          <w:sz w:val="24"/>
        </w:rPr>
        <w:t xml:space="preserve">Il registro acquisisce al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l'esistenza e la falsita del comunicato, la data del diciotto aprile millenovecentosettantotto e la contestualita con il rinvenimento della base; acquisisce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l'attribuzione al falsario indicato, che e attribuzione investigativa e storiografica consolidata ma non consacrata da sentenza sul punto specifico; e corregge in tal senso la presentazione del rapporto conferito.</w:t>
      </w:r>
    </w:p>
    <w:p>
      <w:pPr>
        <w:spacing w:line="276" w:lineRule="auto" w:after="120" w:before="0"/>
        <w:ind w:firstLine="425"/>
        <w:jc w:val="both"/>
      </w:pPr>
      <w:r>
        <w:rPr>
          <w:rFonts w:ascii="Times New Roman" w:hAnsi="Times New Roman" w:cs="Times New Roman" w:eastAsia="Times New Roman"/>
          <w:b w:val="0"/>
          <w:i w:val="0"/>
          <w:sz w:val="24"/>
        </w:rPr>
        <w:t xml:space="preserve">La contestualita fra il falso comunicato e il rinvenimento della base e il dato analiticamente decisivo e va enunciato con precisione. Due eventi di segno opposto, l'uno che disperde le ricerche e l'altro che le concentra, si verificano nel medesimo giorno. La coincidenza e acquisita al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in quanto fatto di calendario; ogni inferenza sulla sua natura e collocata al grado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xml:space="preserve"> in applicazione dell'invariante.</w:t>
      </w:r>
    </w:p>
    <w:p>
      <w:pPr>
        <w:spacing w:line="276" w:lineRule="auto" w:after="120" w:before="0"/>
        <w:ind w:firstLine="425"/>
        <w:jc w:val="both"/>
      </w:pPr>
      <w:r>
        <w:rPr>
          <w:rFonts w:ascii="Times New Roman" w:hAnsi="Times New Roman" w:cs="Times New Roman" w:eastAsia="Times New Roman"/>
          <w:b w:val="0"/>
          <w:i w:val="0"/>
          <w:sz w:val="24"/>
        </w:rPr>
        <w:t xml:space="preserve">Il registro richiama quanto gia acquisito nella sezione metafisica circa il canale ecclesiastico che segnalo la falsita del comunicato, e rileva che si dispone dunque, per questo singolo episodio, di tre elementi convergenti e di natura eterogenea: la falsita accertata, l'attribuzione investigativa e la segnalazione tempestiva proveniente da un canale con accesso alla struttura brigatista. La convergenza eleva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la proposizione secondo cui il falso comunicato fu prodotto da soggetti in relazione con la struttura e non estranei ad essa.</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eleva al grado </w:t>
      </w:r>
      <w:r>
        <w:rPr>
          <w:rFonts w:ascii="Times New Roman" w:hAnsi="Times New Roman" w:cs="Times New Roman" w:eastAsia="Times New Roman"/>
          <w:b/>
          <w:i/>
          <w:sz w:val="22"/>
        </w:rPr>
        <w:t>B</w:t>
      </w:r>
      <w:r>
        <w:rPr>
          <w:rFonts w:ascii="Times New Roman" w:hAnsi="Times New Roman" w:cs="Times New Roman" w:eastAsia="Times New Roman"/>
          <w:b w:val="0"/>
          <w:i/>
          <w:sz w:val="22"/>
        </w:rPr>
        <w:t xml:space="preserve">, per convergenza di tre elementi eterogenei, la proposizione secondo cui il falso comunicato fu prodotto da soggetti in relazione con la struttura brigatista, e si corregge al grado </w:t>
      </w:r>
      <w:r>
        <w:rPr>
          <w:rFonts w:ascii="Times New Roman" w:hAnsi="Times New Roman" w:cs="Times New Roman" w:eastAsia="Times New Roman"/>
          <w:b/>
          <w:i/>
          <w:sz w:val="22"/>
        </w:rPr>
        <w:t>B</w:t>
      </w:r>
      <w:r>
        <w:rPr>
          <w:rFonts w:ascii="Times New Roman" w:hAnsi="Times New Roman" w:cs="Times New Roman" w:eastAsia="Times New Roman"/>
          <w:b w:val="0"/>
          <w:i/>
          <w:sz w:val="22"/>
        </w:rPr>
        <w:t xml:space="preserve"> l'attribuzione nominativa presentata come accertata.</w:t>
      </w:r>
    </w:p>
    <w:p>
      <w:pPr>
        <w:spacing w:line="276" w:lineRule="auto" w:after="160" w:before="240"/>
        <w:jc w:val="left"/>
      </w:pPr>
      <w:r>
        <w:rPr>
          <w:rFonts w:ascii="Times New Roman" w:hAnsi="Times New Roman" w:cs="Times New Roman" w:eastAsia="Times New Roman"/>
          <w:b/>
          <w:i w:val="0"/>
          <w:sz w:val="26"/>
        </w:rPr>
        <w:t>Blocco XXXV — Le prigioni multiple e il dato tecnico</w:t>
      </w:r>
    </w:p>
    <w:p>
      <w:pPr>
        <w:spacing w:line="276" w:lineRule="auto" w:after="120" w:before="0"/>
        <w:ind w:firstLine="425"/>
        <w:jc w:val="both"/>
      </w:pPr>
      <w:r>
        <w:rPr>
          <w:rFonts w:ascii="Times New Roman" w:hAnsi="Times New Roman" w:cs="Times New Roman" w:eastAsia="Times New Roman"/>
          <w:b w:val="0"/>
          <w:i w:val="0"/>
          <w:sz w:val="24"/>
        </w:rPr>
        <w:t>Il materiale conferito riferisce che l'analisi dei residui rinvenuti sugli indumenti dell'ostaggio e sugli pneumatici dell'autovettura in cui fu rinvenuto il corpo indicherebbe la detenzione in almeno due luoghi distinti nel corso dei cinquantacinque giorni.</w:t>
      </w:r>
    </w:p>
    <w:p>
      <w:pPr>
        <w:spacing w:line="276" w:lineRule="auto" w:after="120" w:before="0"/>
        <w:ind w:firstLine="425"/>
        <w:jc w:val="both"/>
      </w:pPr>
      <w:r>
        <w:rPr>
          <w:rFonts w:ascii="Times New Roman" w:hAnsi="Times New Roman" w:cs="Times New Roman" w:eastAsia="Times New Roman"/>
          <w:b w:val="0"/>
          <w:i w:val="0"/>
          <w:sz w:val="24"/>
        </w:rPr>
        <w:t xml:space="preserve">Il registro acquisisce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il dato tecnico, che proviene da consulenze disposte dalla commissione parlamentare istituita nel duemilaquattordici e che e stato oggetto di discussione tecnica, e segnala che esso appartiene alla categoria dell'accertamento tardivo non recepibile gia formalizzata al blocco ventottesimo.</w:t>
      </w:r>
    </w:p>
    <w:p>
      <w:pPr>
        <w:spacing w:line="276" w:lineRule="auto" w:after="120" w:before="0"/>
        <w:ind w:firstLine="425"/>
        <w:jc w:val="both"/>
      </w:pPr>
      <w:r>
        <w:rPr>
          <w:rFonts w:ascii="Times New Roman" w:hAnsi="Times New Roman" w:cs="Times New Roman" w:eastAsia="Times New Roman"/>
          <w:b w:val="0"/>
          <w:i w:val="0"/>
          <w:sz w:val="24"/>
        </w:rPr>
        <w:t>Il rendimento analitico del dato e superiore alla sua apparenza tecnica. Esso non identifica alcun luogo ne alcun responsabile; ma, se confermato, falsifica la ricostruzione fornita dagli esecutori confessi su un punto verificabile e non opinabile, il che ha effetto sull'attendibilita complessiva di quella ricostruzione secondo la logica ordinaria della valutazione testimoniale.</w:t>
      </w:r>
    </w:p>
    <w:p>
      <w:pPr>
        <w:spacing w:line="276" w:lineRule="auto" w:after="120" w:before="0"/>
        <w:ind w:firstLine="425"/>
        <w:jc w:val="both"/>
      </w:pPr>
      <w:r>
        <w:rPr>
          <w:rFonts w:ascii="Times New Roman" w:hAnsi="Times New Roman" w:cs="Times New Roman" w:eastAsia="Times New Roman"/>
          <w:b w:val="0"/>
          <w:i w:val="0"/>
          <w:sz w:val="24"/>
        </w:rPr>
        <w:t xml:space="preserve">Il registro segnala che questa e la ragione per cui i dati tecnici hanno, in materia di verita differite, rendimento superiore alle dichiarazioni: essi sono falsificabili, non sono negoziabili e non dipendono dalla volonta di chi li produce. La proposizione e formulata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come criterio generale di priorita della ricerca: nelle vicende in cui le dichiarazioni sono numerose e discordanti, la ricerca va indirizzata prioritariamente sugli elementi materiali residui.</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acquisisce al grado </w:t>
      </w:r>
      <w:r>
        <w:rPr>
          <w:rFonts w:ascii="Times New Roman" w:hAnsi="Times New Roman" w:cs="Times New Roman" w:eastAsia="Times New Roman"/>
          <w:b/>
          <w:i/>
          <w:sz w:val="22"/>
        </w:rPr>
        <w:t>B</w:t>
      </w:r>
      <w:r>
        <w:rPr>
          <w:rFonts w:ascii="Times New Roman" w:hAnsi="Times New Roman" w:cs="Times New Roman" w:eastAsia="Times New Roman"/>
          <w:b w:val="0"/>
          <w:i/>
          <w:sz w:val="22"/>
        </w:rPr>
        <w:t xml:space="preserve"> il dato sulla pluralita dei luoghi di detenzione quale falsificatore verificabile della ricostruzione degli esecutori confessi, e si formalizza il criterio di priorita della ricerca sugli elementi materiali nelle vicende a dichiarazioni discordanti.</w:t>
      </w:r>
    </w:p>
    <w:p>
      <w:pPr>
        <w:spacing w:line="276" w:lineRule="auto" w:after="160" w:before="240"/>
        <w:jc w:val="left"/>
      </w:pPr>
      <w:r>
        <w:rPr>
          <w:rFonts w:ascii="Times New Roman" w:hAnsi="Times New Roman" w:cs="Times New Roman" w:eastAsia="Times New Roman"/>
          <w:b/>
          <w:i w:val="0"/>
          <w:sz w:val="26"/>
        </w:rPr>
        <w:t>Blocco XXXVI — Bilancio del materiale sul caso Moro</w:t>
      </w:r>
    </w:p>
    <w:p>
      <w:pPr>
        <w:spacing w:line="276" w:lineRule="auto" w:after="120" w:before="0"/>
        <w:ind w:firstLine="425"/>
        <w:jc w:val="both"/>
      </w:pPr>
      <w:r>
        <w:rPr>
          <w:rFonts w:ascii="Times New Roman" w:hAnsi="Times New Roman" w:cs="Times New Roman" w:eastAsia="Times New Roman"/>
          <w:b w:val="0"/>
          <w:i w:val="0"/>
          <w:sz w:val="24"/>
        </w:rPr>
        <w:t>Il blocco chiude la trattazione con il bilancio dei gradi e con lo stato del falsificatore designato al blocco quarto.</w:t>
      </w:r>
    </w:p>
    <w:p>
      <w:pPr>
        <w:spacing w:line="276" w:lineRule="auto" w:after="120" w:before="0"/>
        <w:ind w:firstLine="425"/>
        <w:jc w:val="both"/>
      </w:pPr>
      <w:r>
        <w:rPr>
          <w:rFonts w:ascii="Times New Roman" w:hAnsi="Times New Roman" w:cs="Times New Roman" w:eastAsia="Times New Roman"/>
          <w:b w:val="0"/>
          <w:i w:val="0"/>
          <w:sz w:val="24"/>
        </w:rPr>
        <w:t xml:space="preserve">Sono acquisiti al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i fatti materiali dell'agguato nella loro cornice; la lacuna di repertazione balistica quale Stato Zero da sottrazione; l'esistenza della testimonianza sull'episodio della motocicletta; la presenza e la qualifica dell'ufficiale del servizio militare, con il ritardo della sua emersione; l'esistenza e la falsita del comunicato del diciotto aprile e la sua contestualita con il rinvenimento della base; e l'esistenza delle dichiarazioni dei collaboratori.</w:t>
      </w:r>
    </w:p>
    <w:p>
      <w:pPr>
        <w:spacing w:line="276" w:lineRule="auto" w:after="120" w:before="0"/>
        <w:ind w:firstLine="425"/>
        <w:jc w:val="both"/>
      </w:pPr>
      <w:r>
        <w:rPr>
          <w:rFonts w:ascii="Times New Roman" w:hAnsi="Times New Roman" w:cs="Times New Roman" w:eastAsia="Times New Roman"/>
          <w:b w:val="0"/>
          <w:i w:val="0"/>
          <w:sz w:val="24"/>
        </w:rPr>
        <w:t xml:space="preserve">Sono acquisiti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la ricostruzione della dinamica statica; i movimenti dei mezzi di polizia; le caratteristiche del munizionamento; l'attribuzione nominativa del falso comunicato; la produzione del falso da parte di soggetti in relazione con la struttura; il dato sulla pluralita dei luoghi di detenzione; e l'esistenza di informazione o presenza non dichiarata dell'apparato militare.</w:t>
      </w:r>
    </w:p>
    <w:p>
      <w:pPr>
        <w:spacing w:line="276" w:lineRule="auto" w:after="120" w:before="0"/>
        <w:ind w:firstLine="425"/>
        <w:jc w:val="both"/>
      </w:pPr>
      <w:r>
        <w:rPr>
          <w:rFonts w:ascii="Times New Roman" w:hAnsi="Times New Roman" w:cs="Times New Roman" w:eastAsia="Times New Roman"/>
          <w:b w:val="0"/>
          <w:i w:val="0"/>
          <w:sz w:val="24"/>
        </w:rPr>
        <w:t xml:space="preserve">Sono collocati al grado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l'esistenza e l'identita del tiratore ulteriore; l'identificazione dei soggetti sulla motocicletta; l'attribuzione del munizionamento ai depositi clandestini; il fatto dichiarato dai collaboratori circa il concorso della criminalita organizzata; e ogni inferenza sul ruolo dell'ufficiale.</w:t>
      </w:r>
    </w:p>
    <w:p>
      <w:pPr>
        <w:spacing w:line="276" w:lineRule="auto" w:after="120" w:before="0"/>
        <w:ind w:firstLine="425"/>
        <w:jc w:val="both"/>
      </w:pPr>
      <w:r>
        <w:rPr>
          <w:rFonts w:ascii="Times New Roman" w:hAnsi="Times New Roman" w:cs="Times New Roman" w:eastAsia="Times New Roman"/>
          <w:b w:val="0"/>
          <w:i w:val="0"/>
          <w:sz w:val="24"/>
        </w:rPr>
        <w:t>Il falsificatore designato risulta a esito differenziato, come previsto: e soddisfatto per le anomalie riconducibili a lacune procedurali ordinarie; non e soddisfatto per la pluralita dei luoghi di detenzione e per l'emersione ritardata della presenza dell'ufficiale, che restano non spiegate dalla ricostruzione degli esecutori confessi. Il registro registra l'esito differenziato e vieta la sua uniformazione in entrambe le direzioni.</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consolida il bilancio in sei acquisizioni di grado </w:t>
      </w:r>
      <w:r>
        <w:rPr>
          <w:rFonts w:ascii="Times New Roman" w:hAnsi="Times New Roman" w:cs="Times New Roman" w:eastAsia="Times New Roman"/>
          <w:b/>
          <w:i/>
          <w:sz w:val="22"/>
        </w:rPr>
        <w:t>A</w:t>
      </w:r>
      <w:r>
        <w:rPr>
          <w:rFonts w:ascii="Times New Roman" w:hAnsi="Times New Roman" w:cs="Times New Roman" w:eastAsia="Times New Roman"/>
          <w:b w:val="0"/>
          <w:i/>
          <w:sz w:val="22"/>
        </w:rPr>
        <w:t xml:space="preserve">, sette di grado </w:t>
      </w:r>
      <w:r>
        <w:rPr>
          <w:rFonts w:ascii="Times New Roman" w:hAnsi="Times New Roman" w:cs="Times New Roman" w:eastAsia="Times New Roman"/>
          <w:b/>
          <w:i/>
          <w:sz w:val="22"/>
        </w:rPr>
        <w:t>B</w:t>
      </w:r>
      <w:r>
        <w:rPr>
          <w:rFonts w:ascii="Times New Roman" w:hAnsi="Times New Roman" w:cs="Times New Roman" w:eastAsia="Times New Roman"/>
          <w:b w:val="0"/>
          <w:i/>
          <w:sz w:val="22"/>
        </w:rPr>
        <w:t xml:space="preserve"> e cinque collocazioni al grado </w:t>
      </w:r>
      <w:r>
        <w:rPr>
          <w:rFonts w:ascii="Times New Roman" w:hAnsi="Times New Roman" w:cs="Times New Roman" w:eastAsia="Times New Roman"/>
          <w:b/>
          <w:i/>
          <w:sz w:val="22"/>
        </w:rPr>
        <w:t>C</w:t>
      </w:r>
      <w:r>
        <w:rPr>
          <w:rFonts w:ascii="Times New Roman" w:hAnsi="Times New Roman" w:cs="Times New Roman" w:eastAsia="Times New Roman"/>
          <w:b w:val="0"/>
          <w:i/>
          <w:sz w:val="22"/>
        </w:rPr>
        <w:t>, e si registra l'esito differenziato del falsificatore, soddisfatto per le anomalie procedurali e non soddisfatto per due elementi determinati.</w:t>
      </w:r>
    </w:p>
    <w:p>
      <w:pPr>
        <w:spacing w:line="276" w:lineRule="auto" w:after="160" w:before="240"/>
        <w:jc w:val="left"/>
      </w:pPr>
      <w:r>
        <w:rPr>
          <w:rFonts w:ascii="Times New Roman" w:hAnsi="Times New Roman" w:cs="Times New Roman" w:eastAsia="Times New Roman"/>
          <w:b/>
          <w:i w:val="0"/>
          <w:sz w:val="26"/>
        </w:rPr>
        <w:t>Blocco XXXVII — Gaetano Badalamenti: profilo e collocazione nel grafo</w:t>
      </w:r>
    </w:p>
    <w:p>
      <w:pPr>
        <w:spacing w:line="276" w:lineRule="auto" w:after="120" w:before="0"/>
        <w:ind w:firstLine="425"/>
        <w:jc w:val="both"/>
      </w:pPr>
      <w:r>
        <w:rPr>
          <w:rFonts w:ascii="Times New Roman" w:hAnsi="Times New Roman" w:cs="Times New Roman" w:eastAsia="Times New Roman"/>
          <w:b w:val="0"/>
          <w:i w:val="0"/>
          <w:sz w:val="24"/>
        </w:rPr>
        <w:t xml:space="preserve">Gaetano Badalamenti, nato a Cinisi il quattordici settembre millenovecentoventitre e morto il ventinove aprile duemilaquattro in un istituto penitenziario statunitense, e acquisito al registro al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quanto ai dati anagrafici, alle cariche ricoperte nell'organizzazione e agli esiti giudiziari.</w:t>
      </w:r>
    </w:p>
    <w:p>
      <w:pPr>
        <w:spacing w:line="276" w:lineRule="auto" w:after="120" w:before="0"/>
        <w:ind w:firstLine="425"/>
        <w:jc w:val="both"/>
      </w:pPr>
      <w:r>
        <w:rPr>
          <w:rFonts w:ascii="Times New Roman" w:hAnsi="Times New Roman" w:cs="Times New Roman" w:eastAsia="Times New Roman"/>
          <w:b w:val="0"/>
          <w:i w:val="0"/>
          <w:sz w:val="24"/>
        </w:rPr>
        <w:t>Sono acquisiti: il capo della cosca di Cinisi nel periodo indicato; la posizione di segretario dell'organo di vertice regionale dell'organizzazione fra il millenovecentosettantaquattro e il millenovecentosettantotto; l'appartenenza alla componente sconfitta nel conflitto interno dei primi anni Ottanta; l'arresto a Madrid nel millenovecentottantaquattro; la condanna nel millenovecentottantasette da parte della giurisdizione federale statunitense a quarantacinque anni nel procedimento sul traffico internazionale di stupefacenti condotto attraverso una rete di esercizi commerciali; e la condanna all'ergastolo pronunciata dalla giurisdizione italiana nel duemiladue quale mandante dell'omicidio del giornalista.</w:t>
      </w:r>
    </w:p>
    <w:p>
      <w:pPr>
        <w:spacing w:line="276" w:lineRule="auto" w:after="120" w:before="0"/>
        <w:ind w:firstLine="425"/>
        <w:jc w:val="both"/>
      </w:pPr>
      <w:r>
        <w:rPr>
          <w:rFonts w:ascii="Times New Roman" w:hAnsi="Times New Roman" w:cs="Times New Roman" w:eastAsia="Times New Roman"/>
          <w:b w:val="0"/>
          <w:i w:val="0"/>
          <w:sz w:val="24"/>
        </w:rPr>
        <w:t>Il registro isola l'elemento di maggiore rendimento analitico, che e la posizione geografica. Il territorio della cosca ospitava lo scalo aeroportuale internazionale della citta capoluogo, e la coincidenza fra giurisdizione mafiosa territoriale e infrastruttura di transito internazionale e la condizione strutturale che consenti il controllo di uno snodo del traffico. Si tratta di applicazione diretta del pattern della convergenza geografica: non e la potenza della cosca a spiegare il traffico, e la localizzazione a spiegare entrambi.</w:t>
      </w:r>
    </w:p>
    <w:p>
      <w:pPr>
        <w:spacing w:line="276" w:lineRule="auto" w:after="120" w:before="0"/>
        <w:ind w:firstLine="425"/>
        <w:jc w:val="both"/>
      </w:pPr>
      <w:r>
        <w:rPr>
          <w:rFonts w:ascii="Times New Roman" w:hAnsi="Times New Roman" w:cs="Times New Roman" w:eastAsia="Times New Roman"/>
          <w:b w:val="0"/>
          <w:i w:val="0"/>
          <w:sz w:val="24"/>
        </w:rPr>
        <w:t xml:space="preserve">La proposizione e formulata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come criterio generalizzabile: nelle organizzazioni a base territoriale, il rango nazionale di una cosca e funzione delle infrastrutture di transito insistenti sul suo territorio piu che della sua consistenza numerica. Il falsificatore designato e la dimostrazione di cosche di pari rango nazionale insistenti su territori privi di infrastrutture di transito.</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formula al grado </w:t>
      </w:r>
      <w:r>
        <w:rPr>
          <w:rFonts w:ascii="Times New Roman" w:hAnsi="Times New Roman" w:cs="Times New Roman" w:eastAsia="Times New Roman"/>
          <w:b/>
          <w:i/>
          <w:sz w:val="22"/>
        </w:rPr>
        <w:t>B</w:t>
      </w:r>
      <w:r>
        <w:rPr>
          <w:rFonts w:ascii="Times New Roman" w:hAnsi="Times New Roman" w:cs="Times New Roman" w:eastAsia="Times New Roman"/>
          <w:b w:val="0"/>
          <w:i/>
          <w:sz w:val="22"/>
        </w:rPr>
        <w:t xml:space="preserve"> il criterio secondo cui il rango nazionale di una cosca territoriale e funzione delle infrastrutture di transito insistenti sul territorio anziche della sua consistenza, con falsificatore designato.</w:t>
      </w:r>
    </w:p>
    <w:p>
      <w:pPr>
        <w:spacing w:line="276" w:lineRule="auto" w:after="160" w:before="240"/>
        <w:jc w:val="left"/>
      </w:pPr>
      <w:r>
        <w:rPr>
          <w:rFonts w:ascii="Times New Roman" w:hAnsi="Times New Roman" w:cs="Times New Roman" w:eastAsia="Times New Roman"/>
          <w:b/>
          <w:i w:val="0"/>
          <w:sz w:val="26"/>
        </w:rPr>
        <w:t>Blocco XXXVIII — L'omicidio di Peppino Impastato e la coincidenza del nove maggio</w:t>
      </w:r>
    </w:p>
    <w:p>
      <w:pPr>
        <w:spacing w:line="276" w:lineRule="auto" w:after="120" w:before="0"/>
        <w:ind w:firstLine="425"/>
        <w:jc w:val="both"/>
      </w:pPr>
      <w:r>
        <w:rPr>
          <w:rFonts w:ascii="Times New Roman" w:hAnsi="Times New Roman" w:cs="Times New Roman" w:eastAsia="Times New Roman"/>
          <w:b w:val="0"/>
          <w:i w:val="0"/>
          <w:sz w:val="24"/>
        </w:rPr>
        <w:t xml:space="preserve">Peppino Impastato, attivista e animatore di un'emittente radiofonica indipendente che denunciava pubblicamente il capo della cosca locale, fu ucciso nella notte fra l'otto e il nove maggio millenovecentosettantotto: rapito, percosso e collocato sui binari della linea ferroviaria con una carica esplosiva, in modo da simulare la morte di un attentatore durante la posa dell'ordigno. Il grado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 xml:space="preserve">Il registro isola la coincidenza cronologica e la tratta secondo l'invariante. Il corpo di Aldo Moro fu rinvenuto a Roma il nove maggio millenovecentosettantotto. I due fatti sono contemporanei e privi di qualsiasi relazione documentata; la coincidenza e acquisita al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in quanto fatto di calendario e non fonda alcuna inferenza.</w:t>
      </w:r>
    </w:p>
    <w:p>
      <w:pPr>
        <w:spacing w:line="276" w:lineRule="auto" w:after="120" w:before="0"/>
        <w:ind w:firstLine="425"/>
        <w:jc w:val="both"/>
      </w:pPr>
      <w:r>
        <w:rPr>
          <w:rFonts w:ascii="Times New Roman" w:hAnsi="Times New Roman" w:cs="Times New Roman" w:eastAsia="Times New Roman"/>
          <w:b w:val="0"/>
          <w:i w:val="0"/>
          <w:sz w:val="24"/>
        </w:rPr>
        <w:t xml:space="preserve">La coincidenza ha tuttavia un rendimento analitico reale, che non e causale bensi mediatico e va enunciato: la saturazione dello spazio informativo nazionale da parte dell'evento romano concorse a rendere marginale la notizia siciliana nell'immediatezza, il che costituisce una delle condizioni di possibilita del depistaggio successivo. Il grado di questa proposizione e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essendo desumibile dalla rassegna della stampa dei giorni immediatamente successivi.</w:t>
      </w:r>
    </w:p>
    <w:p>
      <w:pPr>
        <w:spacing w:line="276" w:lineRule="auto" w:after="120" w:before="0"/>
        <w:ind w:firstLine="425"/>
        <w:jc w:val="both"/>
      </w:pPr>
      <w:r>
        <w:rPr>
          <w:rFonts w:ascii="Times New Roman" w:hAnsi="Times New Roman" w:cs="Times New Roman" w:eastAsia="Times New Roman"/>
          <w:b w:val="0"/>
          <w:i w:val="0"/>
          <w:sz w:val="24"/>
        </w:rPr>
        <w:t>Il registro segnala che si e in presenza di un caso in cui una coincidenza priva di nesso causale produce nondimeno un effetto reale attraverso un meccanismo terzo, e formalizza la categoria della coincidenza operativamente efficace, distinta tanto dal nesso causale quanto dalla coincidenza inerte. La distinzione e vincolante e previene tanto l'inferenza indebita quanto l'archiviazione del dato come irrilevante.</w:t>
      </w:r>
    </w:p>
    <w:p>
      <w:pPr>
        <w:spacing w:line="276" w:lineRule="auto" w:after="240" w:before="0"/>
        <w:ind w:firstLine="425"/>
        <w:jc w:val="both"/>
      </w:pPr>
      <w:r>
        <w:rPr>
          <w:rFonts w:ascii="Times New Roman" w:hAnsi="Times New Roman" w:cs="Times New Roman" w:eastAsia="Times New Roman"/>
          <w:b w:val="0"/>
          <w:i/>
          <w:sz w:val="22"/>
        </w:rPr>
        <w:t>Sintesi del dato nuovo acquisito: si formalizza la categoria della coincidenza operativamente efficace, priva di nesso causale ma produttiva di effetto attraverso meccanismo terzo, con il caso del nove maggio millenovecentosettantotto quale esemplare designato.</w:t>
      </w:r>
    </w:p>
    <w:p>
      <w:pPr>
        <w:spacing w:line="276" w:lineRule="auto" w:after="160" w:before="240"/>
        <w:jc w:val="left"/>
      </w:pPr>
      <w:r>
        <w:rPr>
          <w:rFonts w:ascii="Times New Roman" w:hAnsi="Times New Roman" w:cs="Times New Roman" w:eastAsia="Times New Roman"/>
          <w:b/>
          <w:i w:val="0"/>
          <w:sz w:val="26"/>
        </w:rPr>
        <w:t>Blocco XXXIX — Il depistaggio istituzionale e la verita giudiziaria differita</w:t>
      </w:r>
    </w:p>
    <w:p>
      <w:pPr>
        <w:spacing w:line="276" w:lineRule="auto" w:after="120" w:before="0"/>
        <w:ind w:firstLine="425"/>
        <w:jc w:val="both"/>
      </w:pPr>
      <w:r>
        <w:rPr>
          <w:rFonts w:ascii="Times New Roman" w:hAnsi="Times New Roman" w:cs="Times New Roman" w:eastAsia="Times New Roman"/>
          <w:b w:val="0"/>
          <w:i w:val="0"/>
          <w:sz w:val="24"/>
        </w:rPr>
        <w:t xml:space="preserve">Il registro acquisisce al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che l'omicidio fu inizialmente ricondotto, in sede investigativa, all'ipotesi dell'attentatore morto durante la posa dell'ordigno, e che tale qualificazione fu superata soltanto a distanza di decenni per effetto di iniziativa dei familiari e dei compagni della vittima e della riapertura delle indagini.</w:t>
      </w:r>
    </w:p>
    <w:p>
      <w:pPr>
        <w:spacing w:line="276" w:lineRule="auto" w:after="120" w:before="0"/>
        <w:ind w:firstLine="425"/>
        <w:jc w:val="both"/>
      </w:pPr>
      <w:r>
        <w:rPr>
          <w:rFonts w:ascii="Times New Roman" w:hAnsi="Times New Roman" w:cs="Times New Roman" w:eastAsia="Times New Roman"/>
          <w:b w:val="0"/>
          <w:i w:val="0"/>
          <w:sz w:val="24"/>
        </w:rPr>
        <w:t xml:space="preserve">Sono acquisiti al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gli esiti: la condanna a trent'anni pronunciata il cinque marzo duemilauno a carico dell'esecutore materiale individuato, e la condanna all'ergastolo pronunciata l'undici aprile duemiladue a carico del mandante.</w:t>
      </w:r>
    </w:p>
    <w:p>
      <w:pPr>
        <w:spacing w:line="276" w:lineRule="auto" w:after="120" w:before="0"/>
        <w:ind w:firstLine="425"/>
        <w:jc w:val="both"/>
      </w:pPr>
      <w:r>
        <w:rPr>
          <w:rFonts w:ascii="Times New Roman" w:hAnsi="Times New Roman" w:cs="Times New Roman" w:eastAsia="Times New Roman"/>
          <w:b w:val="0"/>
          <w:i w:val="0"/>
          <w:sz w:val="24"/>
        </w:rPr>
        <w:t>L'elemento analitico decisivo e la struttura del depistaggio, che va enunciata perche differisce da quella documentata altrove nel registro. Non si tratta di sottrazione di elementi probatori ne di produzione di elementi falsi da parte di terzi: si tratta di adozione, da parte dell'autorita procedente, di una qualificazione del fatto compatibile con la scena materiale e incompatibile con il contesto, con conseguente orientamento dell'intera attivita successiva. La modalita del delitto fu progettata per rendere disponibile quella qualificazione, e l'apparato la adotto.</w:t>
      </w:r>
    </w:p>
    <w:p>
      <w:pPr>
        <w:spacing w:line="276" w:lineRule="auto" w:after="120" w:before="0"/>
        <w:ind w:firstLine="425"/>
        <w:jc w:val="both"/>
      </w:pPr>
      <w:r>
        <w:rPr>
          <w:rFonts w:ascii="Times New Roman" w:hAnsi="Times New Roman" w:cs="Times New Roman" w:eastAsia="Times New Roman"/>
          <w:b w:val="0"/>
          <w:i w:val="0"/>
          <w:sz w:val="24"/>
        </w:rPr>
        <w:t xml:space="preserve">Il registro formalizza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la categoria del depistaggio per qualificazione, distinta dal depistaggio per soppressione e da quello per falsificazione, e ne enuncia il tratto diagnostico: esso non richiede alcun atto illecito da parte di chi indaga, e per questo non lascia traccia negli atti come anomalia. La sua individuazione richiede il confronto fra la qualificazione adottata e il contesto disponibile all'epoca, e non l'esame degli atti in se.</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formalizza al grado </w:t>
      </w:r>
      <w:r>
        <w:rPr>
          <w:rFonts w:ascii="Times New Roman" w:hAnsi="Times New Roman" w:cs="Times New Roman" w:eastAsia="Times New Roman"/>
          <w:b/>
          <w:i/>
          <w:sz w:val="22"/>
        </w:rPr>
        <w:t>B</w:t>
      </w:r>
      <w:r>
        <w:rPr>
          <w:rFonts w:ascii="Times New Roman" w:hAnsi="Times New Roman" w:cs="Times New Roman" w:eastAsia="Times New Roman"/>
          <w:b w:val="0"/>
          <w:i/>
          <w:sz w:val="22"/>
        </w:rPr>
        <w:t xml:space="preserve"> la categoria del depistaggio per qualificazione, distinta da soppressione e falsificazione, non rilevabile dall'esame degli atti e individuabile soltanto per confronto fra qualificazione adottata e contesto disponibile.</w:t>
      </w:r>
    </w:p>
    <w:p>
      <w:pPr>
        <w:spacing w:line="276" w:lineRule="auto" w:after="160" w:before="240"/>
        <w:jc w:val="left"/>
      </w:pPr>
      <w:r>
        <w:rPr>
          <w:rFonts w:ascii="Times New Roman" w:hAnsi="Times New Roman" w:cs="Times New Roman" w:eastAsia="Times New Roman"/>
          <w:b/>
          <w:i w:val="0"/>
          <w:sz w:val="26"/>
        </w:rPr>
        <w:t>Blocco XL — Il procedimento statunitense e la struttura del traffico</w:t>
      </w:r>
    </w:p>
    <w:p>
      <w:pPr>
        <w:spacing w:line="276" w:lineRule="auto" w:after="120" w:before="0"/>
        <w:ind w:firstLine="425"/>
        <w:jc w:val="both"/>
      </w:pPr>
      <w:r>
        <w:rPr>
          <w:rFonts w:ascii="Times New Roman" w:hAnsi="Times New Roman" w:cs="Times New Roman" w:eastAsia="Times New Roman"/>
          <w:b w:val="0"/>
          <w:i w:val="0"/>
          <w:sz w:val="24"/>
        </w:rPr>
        <w:t xml:space="preserve">Il procedimento condotto dalla giurisdizione federale statunitense e concluso nel millenovecentottantasette accerto l'impiego di una rete di esercizi di ristorazione quale infrastruttura per il riciclaggio dei proventi e per la distribuzione dello stupefacente. Il grado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Il registro isola il dato strutturale. L'infrastruttura impiegata era legale, dichiarata, fiscalmente censita e geograficamente diffusa; non era clandestina. Si tratta della medesima morfologia gia riconosciuta dal registro per le reti di esfiltrazione e per le associazioni reducistiche, e la ricorrenza in un terzo campo, quello del traffico di stupefacenti, ne conferma la generalita.</w:t>
      </w:r>
    </w:p>
    <w:p>
      <w:pPr>
        <w:spacing w:line="276" w:lineRule="auto" w:after="120" w:before="0"/>
        <w:ind w:firstLine="425"/>
        <w:jc w:val="both"/>
      </w:pPr>
      <w:r>
        <w:rPr>
          <w:rFonts w:ascii="Times New Roman" w:hAnsi="Times New Roman" w:cs="Times New Roman" w:eastAsia="Times New Roman"/>
          <w:b w:val="0"/>
          <w:i w:val="0"/>
          <w:sz w:val="24"/>
        </w:rPr>
        <w:t xml:space="preserve">Il registro formula percio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una proposizione di portata generale: le attivita illecite di scala richiedono infrastrutture legali, e l'occultamento non riguarda l'infrastruttura bensi la funzione che essa svolge. Ne discende che la ricerca documentale va indirizzata sui registri ordinari — societari, fiscali, commerciali, associativi — e non sugli archivi di sicurezza, e che le relative lacune sono percio strutturalmente piu rimediabili di quanto la letteratura assuma.</w:t>
      </w:r>
    </w:p>
    <w:p>
      <w:pPr>
        <w:spacing w:line="276" w:lineRule="auto" w:after="120" w:before="0"/>
        <w:ind w:firstLine="425"/>
        <w:jc w:val="both"/>
      </w:pPr>
      <w:r>
        <w:rPr>
          <w:rFonts w:ascii="Times New Roman" w:hAnsi="Times New Roman" w:cs="Times New Roman" w:eastAsia="Times New Roman"/>
          <w:b w:val="0"/>
          <w:i w:val="0"/>
          <w:sz w:val="24"/>
        </w:rPr>
        <w:t>Il registro segnala che questa proposizione, formulata qui per la terza volta a partire da campi diversi, ha raggiunto un grado di corroborazione che ne consente l'adozione come criterio operativo permanente del progetto, e ne dispone l'applicazione retroattiva a tutte le sezioni. Il falsificatore designato e la dimostrazione di attivita illecite di scala comparabile condotte interamente su infrastrutture clandestine.</w:t>
      </w:r>
    </w:p>
    <w:p>
      <w:pPr>
        <w:spacing w:line="276" w:lineRule="auto" w:after="240" w:before="0"/>
        <w:ind w:firstLine="425"/>
        <w:jc w:val="both"/>
      </w:pPr>
      <w:r>
        <w:rPr>
          <w:rFonts w:ascii="Times New Roman" w:hAnsi="Times New Roman" w:cs="Times New Roman" w:eastAsia="Times New Roman"/>
          <w:b w:val="0"/>
          <w:i/>
          <w:sz w:val="22"/>
        </w:rPr>
        <w:t>Sintesi del dato nuovo acquisito: si eleva a criterio operativo permanente del progetto, per corroborazione da tre campi indipendenti, la proposizione secondo cui le attivita illecite di scala richiedono infrastrutture legali e l'occultamento riguarda la funzione e non l'infrastruttura.</w:t>
      </w:r>
    </w:p>
    <w:p>
      <w:pPr>
        <w:spacing w:line="276" w:lineRule="auto" w:after="160" w:before="240"/>
        <w:jc w:val="left"/>
      </w:pPr>
      <w:r>
        <w:rPr>
          <w:rFonts w:ascii="Times New Roman" w:hAnsi="Times New Roman" w:cs="Times New Roman" w:eastAsia="Times New Roman"/>
          <w:b/>
          <w:i w:val="0"/>
          <w:sz w:val="26"/>
        </w:rPr>
        <w:t>Blocco XLI — Meyer Lansky e la struttura finanziaria</w:t>
      </w:r>
    </w:p>
    <w:p>
      <w:pPr>
        <w:spacing w:line="276" w:lineRule="auto" w:after="120" w:before="0"/>
        <w:ind w:firstLine="425"/>
        <w:jc w:val="both"/>
      </w:pPr>
      <w:r>
        <w:rPr>
          <w:rFonts w:ascii="Times New Roman" w:hAnsi="Times New Roman" w:cs="Times New Roman" w:eastAsia="Times New Roman"/>
          <w:b w:val="0"/>
          <w:i w:val="0"/>
          <w:sz w:val="24"/>
        </w:rPr>
        <w:t>Il materiale conferito attribuisce a Meyer Lansky, nato nel millenovecentodue e morto nel millenovecentottantatre, la funzione di organizzatore finanziario della criminalita statunitense, il concorso alla costituzione dell'organo di coordinamento fra le famiglie negli anni Trenta, la costruzione di un sistema di case da gioco a Cuba fino al millenovecentocinquantanove e il successivo spostamento verso piazze caraibiche, e la pionieristica adozione di conti esteri e societa di comodo.</w:t>
      </w:r>
    </w:p>
    <w:p>
      <w:pPr>
        <w:spacing w:line="276" w:lineRule="auto" w:after="120" w:before="0"/>
        <w:ind w:firstLine="425"/>
        <w:jc w:val="both"/>
      </w:pPr>
      <w:r>
        <w:rPr>
          <w:rFonts w:ascii="Times New Roman" w:hAnsi="Times New Roman" w:cs="Times New Roman" w:eastAsia="Times New Roman"/>
          <w:b w:val="0"/>
          <w:i w:val="0"/>
          <w:sz w:val="24"/>
        </w:rPr>
        <w:t xml:space="preserve">Il registro acquisisce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il quadro complessivo, che e materia di letteratura consolidata ma che il materiale conferito riporta senza fonti; acquisisce al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i dati anagrafici e la deposizione resa nel millenovecentocinquantuno davanti alla commissione senatoriale statunitense sul crimine organizzato; e colloca al grado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xml:space="preserve"> la quantificazione relativa a un patrimonio non rinvenuto, che presenta tutti e quattro i tratti del marcatore diagnostico delle catene finanziarie leggendarie gia adottato come filtro preventivo.</w:t>
      </w:r>
    </w:p>
    <w:p>
      <w:pPr>
        <w:spacing w:line="276" w:lineRule="auto" w:after="120" w:before="0"/>
        <w:ind w:firstLine="425"/>
        <w:jc w:val="both"/>
      </w:pPr>
      <w:r>
        <w:rPr>
          <w:rFonts w:ascii="Times New Roman" w:hAnsi="Times New Roman" w:cs="Times New Roman" w:eastAsia="Times New Roman"/>
          <w:b w:val="0"/>
          <w:i w:val="0"/>
          <w:sz w:val="24"/>
        </w:rPr>
        <w:t>Il registro segnala che il materiale conferito conclude il profilo con il richiamo a un personaggio cinematografico ispirato alla figura. Il richiamo e registrato come dato di ricezione culturale e non ha alcun valore probatorio; se ne rileva anzi il rischio, poiche la circolazione di una figura attraverso la finzione produce, nella letteratura successiva, l'attribuzione al soggetto reale di tratti del personaggio.</w:t>
      </w:r>
    </w:p>
    <w:p>
      <w:pPr>
        <w:spacing w:line="276" w:lineRule="auto" w:after="120" w:before="0"/>
        <w:ind w:firstLine="425"/>
        <w:jc w:val="both"/>
      </w:pPr>
      <w:r>
        <w:rPr>
          <w:rFonts w:ascii="Times New Roman" w:hAnsi="Times New Roman" w:cs="Times New Roman" w:eastAsia="Times New Roman"/>
          <w:b w:val="0"/>
          <w:i w:val="0"/>
          <w:sz w:val="24"/>
        </w:rPr>
        <w:t xml:space="preserve">Si formalizza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il criterio della contaminazione narrativa: quando un soggetto storico ha ricevuto trasposizione in opere di finzione di larga diffusione, ogni affermazione su di esso non ancorata a documento va sospettata di derivazione dalla trasposizione, e il grado va conseguentemente abbassato.</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formalizza al grado </w:t>
      </w:r>
      <w:r>
        <w:rPr>
          <w:rFonts w:ascii="Times New Roman" w:hAnsi="Times New Roman" w:cs="Times New Roman" w:eastAsia="Times New Roman"/>
          <w:b/>
          <w:i/>
          <w:sz w:val="22"/>
        </w:rPr>
        <w:t>B</w:t>
      </w:r>
      <w:r>
        <w:rPr>
          <w:rFonts w:ascii="Times New Roman" w:hAnsi="Times New Roman" w:cs="Times New Roman" w:eastAsia="Times New Roman"/>
          <w:b w:val="0"/>
          <w:i/>
          <w:sz w:val="22"/>
        </w:rPr>
        <w:t xml:space="preserve"> il criterio della contaminazione narrativa, che impone l'abbassamento del grado per le affermazioni non documentate relative a soggetti storici oggetto di trasposizione in finzione di larga diffusione.</w:t>
      </w:r>
    </w:p>
    <w:p>
      <w:pPr>
        <w:spacing w:line="276" w:lineRule="auto" w:after="160" w:before="240"/>
        <w:jc w:val="left"/>
      </w:pPr>
      <w:r>
        <w:rPr>
          <w:rFonts w:ascii="Times New Roman" w:hAnsi="Times New Roman" w:cs="Times New Roman" w:eastAsia="Times New Roman"/>
          <w:b/>
          <w:i w:val="0"/>
          <w:sz w:val="26"/>
        </w:rPr>
        <w:t>Blocco XLII — Il soggiorno romano del millenovecentoquarantanove</w:t>
      </w:r>
    </w:p>
    <w:p>
      <w:pPr>
        <w:spacing w:line="276" w:lineRule="auto" w:after="120" w:before="0"/>
        <w:ind w:firstLine="425"/>
        <w:jc w:val="both"/>
      </w:pPr>
      <w:r>
        <w:rPr>
          <w:rFonts w:ascii="Times New Roman" w:hAnsi="Times New Roman" w:cs="Times New Roman" w:eastAsia="Times New Roman"/>
          <w:b w:val="0"/>
          <w:i w:val="0"/>
          <w:sz w:val="24"/>
        </w:rPr>
        <w:t>Il materiale conferito colloca fra giugno e luglio del millenovecentoquarantanove un viaggio in Italia del soggetto, comprensivo di soggiorno romano e di incontro con Charles Luciano, presentato ufficialmente come viaggio privato, e riferisce che nel millenovecentocinquantuno la commissione senatoriale chiese spiegazioni su quel soggiorno, ottenendo la risposta che l'incontro sarebbe stato accidentale.</w:t>
      </w:r>
    </w:p>
    <w:p>
      <w:pPr>
        <w:spacing w:line="276" w:lineRule="auto" w:after="120" w:before="0"/>
        <w:ind w:firstLine="425"/>
        <w:jc w:val="both"/>
      </w:pPr>
      <w:r>
        <w:rPr>
          <w:rFonts w:ascii="Times New Roman" w:hAnsi="Times New Roman" w:cs="Times New Roman" w:eastAsia="Times New Roman"/>
          <w:b w:val="0"/>
          <w:i w:val="0"/>
          <w:sz w:val="24"/>
        </w:rPr>
        <w:t xml:space="preserve">Il registro acquisisce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il viaggio e l'incontro, attestati dalla letteratura e dagli atti della commissione; acquisisce al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l'esistenza della deposizione e il suo contenuto; e colloca al grado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xml:space="preserve"> la qualificazione dell'incontro come vertice strategico finalizzato al coordinamento dei profitti delle case da gioco e alla riorganizzazione delle rotte, che e interpretazione storiografica prevalente ma non accertamento.</w:t>
      </w:r>
    </w:p>
    <w:p>
      <w:pPr>
        <w:spacing w:line="276" w:lineRule="auto" w:after="120" w:before="0"/>
        <w:ind w:firstLine="425"/>
        <w:jc w:val="both"/>
      </w:pPr>
      <w:r>
        <w:rPr>
          <w:rFonts w:ascii="Times New Roman" w:hAnsi="Times New Roman" w:cs="Times New Roman" w:eastAsia="Times New Roman"/>
          <w:b w:val="0"/>
          <w:i w:val="0"/>
          <w:sz w:val="24"/>
        </w:rPr>
        <w:t>Il registro rileva la struttura probatoria del nodo e la segnala perche esemplare. Si dispone di un fatto accertato, il soggiorno; di una dichiarazione dell'interessato che lo qualifica in un modo; e di una qualificazione contraria unanimemente adottata dalla letteratura. Il registro non e autorizzato a sostituire alla dichiarazione la qualificazione contraria, per quanto plausibile, in assenza di elemento ulteriore; puo e deve registrare entrambe, con i rispettivi gradi e con l'indicazione che la seconda e prevalente e non accertata.</w:t>
      </w:r>
    </w:p>
    <w:p>
      <w:pPr>
        <w:spacing w:line="276" w:lineRule="auto" w:after="120" w:before="0"/>
        <w:ind w:firstLine="425"/>
        <w:jc w:val="both"/>
      </w:pPr>
      <w:r>
        <w:rPr>
          <w:rFonts w:ascii="Times New Roman" w:hAnsi="Times New Roman" w:cs="Times New Roman" w:eastAsia="Times New Roman"/>
          <w:b w:val="0"/>
          <w:i w:val="0"/>
          <w:sz w:val="24"/>
        </w:rPr>
        <w:t>Questa e la forma corretta del trattamento delle dichiarazioni non credute, e vale per l'intero registro: la non credibilita di una dichiarazione non trasferisce alcun grado alla proposizione opposta, che deve essere autonomamente sostenuta.</w:t>
      </w:r>
    </w:p>
    <w:p>
      <w:pPr>
        <w:spacing w:line="276" w:lineRule="auto" w:after="240" w:before="0"/>
        <w:ind w:firstLine="425"/>
        <w:jc w:val="both"/>
      </w:pPr>
      <w:r>
        <w:rPr>
          <w:rFonts w:ascii="Times New Roman" w:hAnsi="Times New Roman" w:cs="Times New Roman" w:eastAsia="Times New Roman"/>
          <w:b w:val="0"/>
          <w:i/>
          <w:sz w:val="22"/>
        </w:rPr>
        <w:t>Sintesi del dato nuovo acquisito: si formalizza la regola secondo cui la non credibilita di una dichiarazione non trasferisce grado alla proposizione opposta, che va autonomamente sostenuta, con il nodo del soggiorno del millenovecentoquarantanove quale esemplare designato.</w:t>
      </w:r>
    </w:p>
    <w:p>
      <w:pPr>
        <w:spacing w:line="276" w:lineRule="auto" w:after="160" w:before="240"/>
        <w:jc w:val="left"/>
      </w:pPr>
      <w:r>
        <w:rPr>
          <w:rFonts w:ascii="Times New Roman" w:hAnsi="Times New Roman" w:cs="Times New Roman" w:eastAsia="Times New Roman"/>
          <w:b/>
          <w:i w:val="0"/>
          <w:sz w:val="26"/>
        </w:rPr>
        <w:t>Blocco XLIII — Il presunto canale dei titoli al portatore verso ambienti finanziari romani</w:t>
      </w:r>
    </w:p>
    <w:p>
      <w:pPr>
        <w:spacing w:line="276" w:lineRule="auto" w:after="120" w:before="0"/>
        <w:ind w:firstLine="425"/>
        <w:jc w:val="both"/>
      </w:pPr>
      <w:r>
        <w:rPr>
          <w:rFonts w:ascii="Times New Roman" w:hAnsi="Times New Roman" w:cs="Times New Roman" w:eastAsia="Times New Roman"/>
          <w:b w:val="0"/>
          <w:i w:val="0"/>
          <w:sz w:val="24"/>
        </w:rPr>
        <w:t>Il materiale conferito afferma che la moglie di un uomo di fiducia del soggetto avrebbe compiuto viaggi a Roma per consegnare titoli al portatore a banchieri vaticani, riciclando capitali del gruppo attraverso canali finanziari collegati, e accompagna l'affermazione con marcatore di citazione non risolto.</w:t>
      </w:r>
    </w:p>
    <w:p>
      <w:pPr>
        <w:spacing w:line="276" w:lineRule="auto" w:after="120" w:before="0"/>
        <w:ind w:firstLine="425"/>
        <w:jc w:val="both"/>
      </w:pPr>
      <w:r>
        <w:rPr>
          <w:rFonts w:ascii="Times New Roman" w:hAnsi="Times New Roman" w:cs="Times New Roman" w:eastAsia="Times New Roman"/>
          <w:b w:val="0"/>
          <w:i w:val="0"/>
          <w:sz w:val="24"/>
        </w:rPr>
        <w:t xml:space="preserve">Il registro colloca l'affermazione al grado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xml:space="preserve"> e ne dichiara i motivi in forma analitica, trattandosi di nodo che, se elevato, produrrebbe conseguenze su piu sezioni del registro.</w:t>
      </w:r>
    </w:p>
    <w:p>
      <w:pPr>
        <w:spacing w:line="276" w:lineRule="auto" w:after="120" w:before="0"/>
        <w:ind w:firstLine="425"/>
        <w:jc w:val="both"/>
      </w:pPr>
      <w:r>
        <w:rPr>
          <w:rFonts w:ascii="Times New Roman" w:hAnsi="Times New Roman" w:cs="Times New Roman" w:eastAsia="Times New Roman"/>
          <w:b w:val="0"/>
          <w:i w:val="0"/>
          <w:sz w:val="24"/>
        </w:rPr>
        <w:t>La fonte e unica ed e un'opera autobiografica pubblicata nel millenovecentonovantadue, scritta con il concorso di una scrittrice professionista, la cui ricezione critica coeva ha rilevato la scarsa consistenza quanto ai meccanismi del crimine organizzato e la prevalenza degli aspetti mondani. La fonte e inoltre parte interessata e riferisce a distanza di circa trent'anni. Il marcatore di citazione che la accompagna e non risolvibile e va trattato, secondo la regola del blocco secondo, come assenza di fonte. Non risulta alcun riscontro bancario, giudiziario o documentale.</w:t>
      </w:r>
    </w:p>
    <w:p>
      <w:pPr>
        <w:spacing w:line="276" w:lineRule="auto" w:after="120" w:before="0"/>
        <w:ind w:firstLine="425"/>
        <w:jc w:val="both"/>
      </w:pPr>
      <w:r>
        <w:rPr>
          <w:rFonts w:ascii="Times New Roman" w:hAnsi="Times New Roman" w:cs="Times New Roman" w:eastAsia="Times New Roman"/>
          <w:b w:val="0"/>
          <w:i w:val="0"/>
          <w:sz w:val="24"/>
        </w:rPr>
        <w:t xml:space="preserve">Il registro segnala espressamente il rischio specifico di questo nodo. Esso si innesta su una materia — i rapporti fra istituzioni finanziarie vaticane e capitali di provenienza illecita — nella quale il registro ha gia acquisito, per altra via e con documentazione giudiziaria, fatti di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relativi a un periodo successivo. L'esistenza di fatti accertati in materia analoga produce, nel lettore, una disponibilita ad accogliere l'affermazione non accertata, e questo e precisamente il meccanismo che il sistema di gradazione esiste per neutralizzare.</w:t>
      </w:r>
    </w:p>
    <w:p>
      <w:pPr>
        <w:spacing w:line="276" w:lineRule="auto" w:after="120" w:before="0"/>
        <w:ind w:firstLine="425"/>
        <w:jc w:val="both"/>
      </w:pPr>
      <w:r>
        <w:rPr>
          <w:rFonts w:ascii="Times New Roman" w:hAnsi="Times New Roman" w:cs="Times New Roman" w:eastAsia="Times New Roman"/>
          <w:b w:val="0"/>
          <w:i w:val="0"/>
          <w:sz w:val="24"/>
        </w:rPr>
        <w:t>Il falsificatore designato al blocco quarto risulta soddisfatto, e il nodo non e ammesso in alcuna catena inferenziale del registro.</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colloca al grado </w:t>
      </w:r>
      <w:r>
        <w:rPr>
          <w:rFonts w:ascii="Times New Roman" w:hAnsi="Times New Roman" w:cs="Times New Roman" w:eastAsia="Times New Roman"/>
          <w:b/>
          <w:i/>
          <w:sz w:val="22"/>
        </w:rPr>
        <w:t>C</w:t>
      </w:r>
      <w:r>
        <w:rPr>
          <w:rFonts w:ascii="Times New Roman" w:hAnsi="Times New Roman" w:cs="Times New Roman" w:eastAsia="Times New Roman"/>
          <w:b w:val="0"/>
          <w:i/>
          <w:sz w:val="22"/>
        </w:rPr>
        <w:t xml:space="preserve"> e si esclude da ogni catena inferenziale il presunto canale dei titoli al portatore, per unicita e natura della fonte, marcatore non risolvibile e assenza di riscontro, segnalando il rischio di elevazione indebita per contiguita con materia in cui il registro possiede fatti accertati.</w:t>
      </w:r>
    </w:p>
    <w:p>
      <w:pPr>
        <w:spacing w:line="276" w:lineRule="auto" w:after="160" w:before="240"/>
        <w:jc w:val="left"/>
      </w:pPr>
      <w:r>
        <w:rPr>
          <w:rFonts w:ascii="Times New Roman" w:hAnsi="Times New Roman" w:cs="Times New Roman" w:eastAsia="Times New Roman"/>
          <w:b/>
          <w:i w:val="0"/>
          <w:sz w:val="26"/>
        </w:rPr>
        <w:t>Blocco XLIV — Assenza verificata: i sicari di Brooklyn e l'Italia</w:t>
      </w:r>
    </w:p>
    <w:p>
      <w:pPr>
        <w:spacing w:line="276" w:lineRule="auto" w:after="120" w:before="0"/>
        <w:ind w:firstLine="425"/>
        <w:jc w:val="both"/>
      </w:pPr>
      <w:r>
        <w:rPr>
          <w:rFonts w:ascii="Times New Roman" w:hAnsi="Times New Roman" w:cs="Times New Roman" w:eastAsia="Times New Roman"/>
          <w:b w:val="0"/>
          <w:i w:val="0"/>
          <w:sz w:val="24"/>
        </w:rPr>
        <w:t>Il materiale conferito afferma, in forma ripetuta, che non esiste alcuna registrazione storica, biografica o giudiziaria di viaggi in Italia dei due sicari della squadra criminale newyorkese attiva negli anni Settanta e Ottanta, e ne fornisce le ragioni: raggio d'azione limitato al contesto urbano di provenienza, unico allontanamento documentato verso altro Stato della federazione nel millenovecentosettantanove, nascita e crescita negli Stati Uniti, e detenzione ininterrotta dal millenovecentottantanove.</w:t>
      </w:r>
    </w:p>
    <w:p>
      <w:pPr>
        <w:spacing w:line="276" w:lineRule="auto" w:after="120" w:before="0"/>
        <w:ind w:firstLine="425"/>
        <w:jc w:val="both"/>
      </w:pPr>
      <w:r>
        <w:rPr>
          <w:rFonts w:ascii="Times New Roman" w:hAnsi="Times New Roman" w:cs="Times New Roman" w:eastAsia="Times New Roman"/>
          <w:b w:val="0"/>
          <w:i w:val="0"/>
          <w:sz w:val="24"/>
        </w:rPr>
        <w:t xml:space="preserve">Il registro acquisisce l'assenza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e la qualifica secondo la Scala degli Stati Zero come non reperimento a fronte di ricerca circoscritta, con l'avvertenza che la popolazione di atti rilevante — registri di frontiera, atti processuali, documentazione investigativa — e finita e in parte accessibile, sicche una verifica esaustiva sarebbe possibile e la lacuna e percio rimediabile.</w:t>
      </w:r>
    </w:p>
    <w:p>
      <w:pPr>
        <w:spacing w:line="276" w:lineRule="auto" w:after="120" w:before="0"/>
        <w:ind w:firstLine="425"/>
        <w:jc w:val="both"/>
      </w:pPr>
      <w:r>
        <w:rPr>
          <w:rFonts w:ascii="Times New Roman" w:hAnsi="Times New Roman" w:cs="Times New Roman" w:eastAsia="Times New Roman"/>
          <w:b w:val="0"/>
          <w:i w:val="0"/>
          <w:sz w:val="24"/>
        </w:rPr>
        <w:t>Il registro conserva il nodo, malgrado la sua apparente estraneita all'oggetto dell'opera, per una ragione metodologica che va enunciata. Il campo della criminalita organizzata transnazionale e caratterizzato dalla tendenza a postulare connessioni fra soggetti che condividono soltanto categoria e periodo; la registrazione esplicita delle non connessioni verificate e l'unico presidio contro tale tendenza, e ha valore analitico pari a quello delle connessioni.</w:t>
      </w:r>
    </w:p>
    <w:p>
      <w:pPr>
        <w:spacing w:line="276" w:lineRule="auto" w:after="120" w:before="0"/>
        <w:ind w:firstLine="425"/>
        <w:jc w:val="both"/>
      </w:pPr>
      <w:r>
        <w:rPr>
          <w:rFonts w:ascii="Times New Roman" w:hAnsi="Times New Roman" w:cs="Times New Roman" w:eastAsia="Times New Roman"/>
          <w:b w:val="0"/>
          <w:i w:val="0"/>
          <w:sz w:val="24"/>
        </w:rPr>
        <w:t xml:space="preserve">Si formalizza percio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il criterio della gerarchia funzionale nella mobilita: nelle organizzazioni criminali la mobilita internazionale e funzione del ruolo e non del rango, essendo propria delle funzioni finanziarie e diplomatiche e assente in quelle esecutive, sicche l'attribuzione di viaggi internazionali a soggetti con profilo esecutivo richiede documentazione specifica e non e presumibile.</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formalizza al grado </w:t>
      </w:r>
      <w:r>
        <w:rPr>
          <w:rFonts w:ascii="Times New Roman" w:hAnsi="Times New Roman" w:cs="Times New Roman" w:eastAsia="Times New Roman"/>
          <w:b/>
          <w:i/>
          <w:sz w:val="22"/>
        </w:rPr>
        <w:t>B</w:t>
      </w:r>
      <w:r>
        <w:rPr>
          <w:rFonts w:ascii="Times New Roman" w:hAnsi="Times New Roman" w:cs="Times New Roman" w:eastAsia="Times New Roman"/>
          <w:b w:val="0"/>
          <w:i/>
          <w:sz w:val="22"/>
        </w:rPr>
        <w:t xml:space="preserve"> il criterio della gerarchia funzionale nella mobilita internazionale, che rende non presumibili i viaggi transnazionali dei profili esecutivi, e si registra l'assenza verificata come presidio contro la postulazione di connessioni per condivisione di categoria.</w:t>
      </w:r>
    </w:p>
    <w:p>
      <w:pPr>
        <w:spacing w:line="276" w:lineRule="auto" w:after="160" w:before="240"/>
        <w:jc w:val="left"/>
      </w:pPr>
      <w:r>
        <w:rPr>
          <w:rFonts w:ascii="Times New Roman" w:hAnsi="Times New Roman" w:cs="Times New Roman" w:eastAsia="Times New Roman"/>
          <w:b/>
          <w:i w:val="0"/>
          <w:sz w:val="26"/>
        </w:rPr>
        <w:t>Blocco XLV — Assenza verificata: i gemelli londinesi e l'Italia</w:t>
      </w:r>
    </w:p>
    <w:p>
      <w:pPr>
        <w:spacing w:line="276" w:lineRule="auto" w:after="120" w:before="0"/>
        <w:ind w:firstLine="425"/>
        <w:jc w:val="both"/>
      </w:pPr>
      <w:r>
        <w:rPr>
          <w:rFonts w:ascii="Times New Roman" w:hAnsi="Times New Roman" w:cs="Times New Roman" w:eastAsia="Times New Roman"/>
          <w:b w:val="0"/>
          <w:i w:val="0"/>
          <w:sz w:val="24"/>
        </w:rPr>
        <w:t>Il materiale conferito afferma che non esistono registrazioni di soggiorni in Italia dei due fratelli a capo dell'organizzazione criminale londinese degli anni Cinquanta e Sessanta, e documenta per contro due trasferte estere: negli Stati Uniti, per contatti con esponenti della criminalita italoamericana, e in Marocco.</w:t>
      </w:r>
    </w:p>
    <w:p>
      <w:pPr>
        <w:spacing w:line="276" w:lineRule="auto" w:after="120" w:before="0"/>
        <w:ind w:firstLine="425"/>
        <w:jc w:val="both"/>
      </w:pPr>
      <w:r>
        <w:rPr>
          <w:rFonts w:ascii="Times New Roman" w:hAnsi="Times New Roman" w:cs="Times New Roman" w:eastAsia="Times New Roman"/>
          <w:b w:val="0"/>
          <w:i w:val="0"/>
          <w:sz w:val="24"/>
        </w:rPr>
        <w:t xml:space="preserve">Il registro acquisisce l'assenza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con la medesima qualificazione del blocco precedente, e acquisisce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l'esistenza dei contatti con la criminalita italoamericana, materia di letteratura consolidata.</w:t>
      </w:r>
    </w:p>
    <w:p>
      <w:pPr>
        <w:spacing w:line="276" w:lineRule="auto" w:after="120" w:before="0"/>
        <w:ind w:firstLine="425"/>
        <w:jc w:val="both"/>
      </w:pPr>
      <w:r>
        <w:rPr>
          <w:rFonts w:ascii="Times New Roman" w:hAnsi="Times New Roman" w:cs="Times New Roman" w:eastAsia="Times New Roman"/>
          <w:b w:val="0"/>
          <w:i w:val="0"/>
          <w:sz w:val="24"/>
        </w:rPr>
        <w:t>Il nodo produce un'acquisizione teorica di rilievo per il grafo. I contatti fra l'organizzazione britannica e quella italoamericana esistettero ma si svolsero interamente in territorio britannico e statunitense; la componente siciliana non vi partecipo. Ne discende che il grafo della criminalita transnazionale del periodo non e un grafo completo fra le sue componenti maggiori: esistono coppie di componenti prive di arco diretto, e la loro relazione, ove esista, passa necessariamente per un terzo nodo.</w:t>
      </w:r>
    </w:p>
    <w:p>
      <w:pPr>
        <w:spacing w:line="276" w:lineRule="auto" w:after="120" w:before="0"/>
        <w:ind w:firstLine="425"/>
        <w:jc w:val="both"/>
      </w:pPr>
      <w:r>
        <w:rPr>
          <w:rFonts w:ascii="Times New Roman" w:hAnsi="Times New Roman" w:cs="Times New Roman" w:eastAsia="Times New Roman"/>
          <w:b w:val="0"/>
          <w:i w:val="0"/>
          <w:sz w:val="24"/>
        </w:rPr>
        <w:t xml:space="preserve">Il registro formalizza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la proposizione secondo cui il grafo della criminalita transnazionale presenta struttura a intermediazione obbligata fra le componenti nazionali non contigue, e ne trae l'indicazione operativa che la ricerca dei legami va indirizzata sui nodi intermedi e non sulle coppie estreme.</w:t>
      </w:r>
    </w:p>
    <w:p>
      <w:pPr>
        <w:spacing w:line="276" w:lineRule="auto" w:after="120" w:before="0"/>
        <w:ind w:firstLine="425"/>
        <w:jc w:val="both"/>
      </w:pPr>
      <w:r>
        <w:rPr>
          <w:rFonts w:ascii="Times New Roman" w:hAnsi="Times New Roman" w:cs="Times New Roman" w:eastAsia="Times New Roman"/>
          <w:b w:val="0"/>
          <w:i w:val="0"/>
          <w:sz w:val="24"/>
        </w:rPr>
        <w:t xml:space="preserve">Va segnalato che i dati biografici conferiti sui due soggetti — decessi nel millenovecentonovantacinque e nel duemila, condizioni della detenzione, scarcerazione per motivi umanitari — sono acquisiti al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e non hanno rilievo per il registro se non in quanto delimitano temporalmente la possibilita stessa di contatti successivi.</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formalizza al grado </w:t>
      </w:r>
      <w:r>
        <w:rPr>
          <w:rFonts w:ascii="Times New Roman" w:hAnsi="Times New Roman" w:cs="Times New Roman" w:eastAsia="Times New Roman"/>
          <w:b/>
          <w:i/>
          <w:sz w:val="22"/>
        </w:rPr>
        <w:t>B</w:t>
      </w:r>
      <w:r>
        <w:rPr>
          <w:rFonts w:ascii="Times New Roman" w:hAnsi="Times New Roman" w:cs="Times New Roman" w:eastAsia="Times New Roman"/>
          <w:b w:val="0"/>
          <w:i/>
          <w:sz w:val="22"/>
        </w:rPr>
        <w:t xml:space="preserve"> la struttura a intermediazione obbligata del grafo della criminalita transnazionale fra componenti nazionali non contigue, con conseguente indicazione di indirizzare la ricerca sui nodi intermedi.</w:t>
      </w:r>
    </w:p>
    <w:p>
      <w:pPr>
        <w:spacing w:line="276" w:lineRule="auto" w:after="160" w:before="240"/>
        <w:jc w:val="left"/>
      </w:pPr>
      <w:r>
        <w:rPr>
          <w:rFonts w:ascii="Times New Roman" w:hAnsi="Times New Roman" w:cs="Times New Roman" w:eastAsia="Times New Roman"/>
          <w:b/>
          <w:i w:val="0"/>
          <w:sz w:val="26"/>
        </w:rPr>
        <w:t>Blocco XLVI — Il valore analitico delle assenze verificate in questo campo</w:t>
      </w:r>
    </w:p>
    <w:p>
      <w:pPr>
        <w:spacing w:line="276" w:lineRule="auto" w:after="120" w:before="0"/>
        <w:ind w:firstLine="425"/>
        <w:jc w:val="both"/>
      </w:pPr>
      <w:r>
        <w:rPr>
          <w:rFonts w:ascii="Times New Roman" w:hAnsi="Times New Roman" w:cs="Times New Roman" w:eastAsia="Times New Roman"/>
          <w:b w:val="0"/>
          <w:i w:val="0"/>
          <w:sz w:val="24"/>
        </w:rPr>
        <w:t>Il blocco raccoglie l'esito dei due precedenti e ne trae la regola generale, che costituisce una delle acquisizioni principali della sezione.</w:t>
      </w:r>
    </w:p>
    <w:p>
      <w:pPr>
        <w:spacing w:line="276" w:lineRule="auto" w:after="120" w:before="0"/>
        <w:ind w:firstLine="425"/>
        <w:jc w:val="both"/>
      </w:pPr>
      <w:r>
        <w:rPr>
          <w:rFonts w:ascii="Times New Roman" w:hAnsi="Times New Roman" w:cs="Times New Roman" w:eastAsia="Times New Roman"/>
          <w:b w:val="0"/>
          <w:i w:val="0"/>
          <w:sz w:val="24"/>
        </w:rPr>
        <w:t>Il materiale conferito contiene tre affermazioni negative espresse — l'assenza di viaggi italiani dei sicari, l'assenza di viaggi italiani dei gemelli londinesi, e l'assenza di connessioni operative fra la figura della sinistra rivoluzionaria e le reti neofasciste — oltre all'affermazione negativa strutturale sull'assenza di sovrapposizione fra le due filiere.</w:t>
      </w:r>
    </w:p>
    <w:p>
      <w:pPr>
        <w:spacing w:line="276" w:lineRule="auto" w:after="120" w:before="0"/>
        <w:ind w:firstLine="425"/>
        <w:jc w:val="both"/>
      </w:pPr>
      <w:r>
        <w:rPr>
          <w:rFonts w:ascii="Times New Roman" w:hAnsi="Times New Roman" w:cs="Times New Roman" w:eastAsia="Times New Roman"/>
          <w:b w:val="0"/>
          <w:i w:val="0"/>
          <w:sz w:val="24"/>
        </w:rPr>
        <w:t xml:space="preserve">Il registro rileva che tutte e quattro sono state formulate dal materiale con maggiore assertivita di quanto la loro struttura logica consenta, e che tutte e quattro sono state qui declassate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Il rilievo non depone contro il materiale: depone contro una tendenza generale, per cui l'affermazione negativa viene percepita come piu sicura di quella positiva, mentre e vero il contrario, poiche essa richiede l'esaurimento di una popolazione e non l'esibizione di un elemento.</w:t>
      </w:r>
    </w:p>
    <w:p>
      <w:pPr>
        <w:spacing w:line="276" w:lineRule="auto" w:after="120" w:before="0"/>
        <w:ind w:firstLine="425"/>
        <w:jc w:val="both"/>
      </w:pPr>
      <w:r>
        <w:rPr>
          <w:rFonts w:ascii="Times New Roman" w:hAnsi="Times New Roman" w:cs="Times New Roman" w:eastAsia="Times New Roman"/>
          <w:b w:val="0"/>
          <w:i w:val="0"/>
          <w:sz w:val="24"/>
        </w:rPr>
        <w:t xml:space="preserve">Si formalizza percio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la regola di asimmetria probatoria: a parita di ricerca condotta, l'affermazione negativa universale riceve grado inferiore all'affermazione positiva corrispondente, e puo raggiungere il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soltanto quando la popolazione degli atti rilevanti sia finita, determinata ed esaustivamente esaminata.</w:t>
      </w:r>
    </w:p>
    <w:p>
      <w:pPr>
        <w:spacing w:line="276" w:lineRule="auto" w:after="120" w:before="0"/>
        <w:ind w:firstLine="425"/>
        <w:jc w:val="both"/>
      </w:pPr>
      <w:r>
        <w:rPr>
          <w:rFonts w:ascii="Times New Roman" w:hAnsi="Times New Roman" w:cs="Times New Roman" w:eastAsia="Times New Roman"/>
          <w:b w:val="0"/>
          <w:i w:val="0"/>
          <w:sz w:val="24"/>
        </w:rPr>
        <w:t>Il registro segnala che tale condizione e stata soddisfatta, nell'intero ciclo di sezioni, in un solo caso, quello dell'assenza di rete satanica strutturata, dove la convergenza della letteratura internazionale sul punto ha consentito la qualificazione di assenza verificata.</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formalizza al grado </w:t>
      </w:r>
      <w:r>
        <w:rPr>
          <w:rFonts w:ascii="Times New Roman" w:hAnsi="Times New Roman" w:cs="Times New Roman" w:eastAsia="Times New Roman"/>
          <w:b/>
          <w:i/>
          <w:sz w:val="22"/>
        </w:rPr>
        <w:t>B</w:t>
      </w:r>
      <w:r>
        <w:rPr>
          <w:rFonts w:ascii="Times New Roman" w:hAnsi="Times New Roman" w:cs="Times New Roman" w:eastAsia="Times New Roman"/>
          <w:b w:val="0"/>
          <w:i/>
          <w:sz w:val="22"/>
        </w:rPr>
        <w:t xml:space="preserve"> la regola di asimmetria probatoria fra affermazioni negative universali e positive corrispondenti, con indicazione della sola condizione che consente al negativo di raggiungere il grado </w:t>
      </w:r>
      <w:r>
        <w:rPr>
          <w:rFonts w:ascii="Times New Roman" w:hAnsi="Times New Roman" w:cs="Times New Roman" w:eastAsia="Times New Roman"/>
          <w:b/>
          <w:i/>
          <w:sz w:val="22"/>
        </w:rPr>
        <w:t>A</w:t>
      </w:r>
      <w:r>
        <w:rPr>
          <w:rFonts w:ascii="Times New Roman" w:hAnsi="Times New Roman" w:cs="Times New Roman" w:eastAsia="Times New Roman"/>
          <w:b w:val="0"/>
          <w:i/>
          <w:sz w:val="22"/>
        </w:rPr>
        <w:t xml:space="preserve"> e del singolo caso in cui essa risulta soddisfatta nel ciclo.</w:t>
      </w:r>
    </w:p>
    <w:p>
      <w:pPr>
        <w:spacing w:line="276" w:lineRule="auto" w:after="160" w:before="240"/>
        <w:jc w:val="left"/>
      </w:pPr>
      <w:r>
        <w:rPr>
          <w:rFonts w:ascii="Times New Roman" w:hAnsi="Times New Roman" w:cs="Times New Roman" w:eastAsia="Times New Roman"/>
          <w:b/>
          <w:i w:val="0"/>
          <w:sz w:val="26"/>
        </w:rPr>
        <w:t>Blocco XLVII — Materiale respinto per irrilevanza e per incoerenza interna</w:t>
      </w:r>
    </w:p>
    <w:p>
      <w:pPr>
        <w:spacing w:line="276" w:lineRule="auto" w:after="120" w:before="0"/>
        <w:ind w:firstLine="425"/>
        <w:jc w:val="both"/>
      </w:pPr>
      <w:r>
        <w:rPr>
          <w:rFonts w:ascii="Times New Roman" w:hAnsi="Times New Roman" w:cs="Times New Roman" w:eastAsia="Times New Roman"/>
          <w:b w:val="0"/>
          <w:i w:val="0"/>
          <w:sz w:val="24"/>
        </w:rPr>
        <w:t>Il registro dichiara espressamente il materiale conferito che non viene federato, in applicazione del principio secondo cui l'esclusione va motivata e non operata tacitamente.</w:t>
      </w:r>
    </w:p>
    <w:p>
      <w:pPr>
        <w:spacing w:line="276" w:lineRule="auto" w:after="120" w:before="0"/>
        <w:ind w:firstLine="425"/>
        <w:jc w:val="both"/>
      </w:pPr>
      <w:r>
        <w:rPr>
          <w:rFonts w:ascii="Times New Roman" w:hAnsi="Times New Roman" w:cs="Times New Roman" w:eastAsia="Times New Roman"/>
          <w:b w:val="0"/>
          <w:i w:val="0"/>
          <w:sz w:val="24"/>
        </w:rPr>
        <w:t>Non e federato il materiale relativo al viaggio a Mosca di un imprenditore statunitense nel luglio del millenovecentottantasette. Il materiale e in se accurato quanto ai fatti — il viaggio, l'invito diplomatico, l'assetto istituzionale della citta all'epoca — ma non presenta alcun arco con l'oggetto dell'opera, e la sua federazione produrrebbe un nodo isolato nel grafo. Il registro segnala altresi che il materiale e stato conferito in forma duplicata all'interno del medesimo blocco, circostanza che, unitamente ad altre duplicazioni rilevate, indica assemblaggio automatico non revisionato.</w:t>
      </w:r>
    </w:p>
    <w:p>
      <w:pPr>
        <w:spacing w:line="276" w:lineRule="auto" w:after="120" w:before="0"/>
        <w:ind w:firstLine="425"/>
        <w:jc w:val="both"/>
      </w:pPr>
      <w:r>
        <w:rPr>
          <w:rFonts w:ascii="Times New Roman" w:hAnsi="Times New Roman" w:cs="Times New Roman" w:eastAsia="Times New Roman"/>
          <w:b w:val="0"/>
          <w:i w:val="0"/>
          <w:sz w:val="24"/>
        </w:rPr>
        <w:t>Non e federata l'affermazione relativa al coinvolgimento di un esponente della criminalita romana e di figure istituzionali nell'omicidio del giornalista, per la ragione dirimente che il procedimento si e concluso con assoluzioni definitive per gli imputati eccellenti. L'assoluzione e il dato acquisito; ogni trattazione ulteriore in chiave attributiva e vietata dalla disciplina.</w:t>
      </w:r>
    </w:p>
    <w:p>
      <w:pPr>
        <w:spacing w:line="276" w:lineRule="auto" w:after="120" w:before="0"/>
        <w:ind w:firstLine="425"/>
        <w:jc w:val="both"/>
      </w:pPr>
      <w:r>
        <w:rPr>
          <w:rFonts w:ascii="Times New Roman" w:hAnsi="Times New Roman" w:cs="Times New Roman" w:eastAsia="Times New Roman"/>
          <w:b w:val="0"/>
          <w:i w:val="0"/>
          <w:sz w:val="24"/>
        </w:rPr>
        <w:t xml:space="preserve">Non e federato l'accostamento fra il nome di una persona vivente titolare di alta carica istituzionale e il fatto di sangue del dodici aprile millenovecentosettantatre. Sono acquisiti al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il fatto, la morte dell'agente di polizia e le condanne pronunciate a carico dei due soggetti nominativamente individuati e giudicati; non e acquisito alcun elemento ulteriore, e in particolare non e ammessa alcuna inferenza dalla titolarita di una carica giovanile di partito nel medesimo contesto, in applicazione dell'invariante che vieta di trarre dalla militanza organizzativa la prova della condotta.</w:t>
      </w:r>
    </w:p>
    <w:p>
      <w:pPr>
        <w:spacing w:line="276" w:lineRule="auto" w:after="240" w:before="0"/>
        <w:ind w:firstLine="425"/>
        <w:jc w:val="both"/>
      </w:pPr>
      <w:r>
        <w:rPr>
          <w:rFonts w:ascii="Times New Roman" w:hAnsi="Times New Roman" w:cs="Times New Roman" w:eastAsia="Times New Roman"/>
          <w:b w:val="0"/>
          <w:i/>
          <w:sz w:val="22"/>
        </w:rPr>
        <w:t>Sintesi del dato nuovo acquisito: si dichiarano e si motivano tre esclusioni — per irrilevanza topologica, per intervenuta assoluzione definitiva e per divieto di inferenza dalla contiguita organizzativa — registrando altresi gli indici di assemblaggio automatico non revisionato del materiale conferito.</w:t>
      </w:r>
    </w:p>
    <w:p>
      <w:pPr>
        <w:spacing w:line="276" w:lineRule="auto" w:after="160" w:before="240"/>
        <w:jc w:val="left"/>
      </w:pPr>
      <w:r>
        <w:rPr>
          <w:rFonts w:ascii="Times New Roman" w:hAnsi="Times New Roman" w:cs="Times New Roman" w:eastAsia="Times New Roman"/>
          <w:b/>
          <w:i w:val="0"/>
          <w:sz w:val="26"/>
        </w:rPr>
        <w:t>Blocco XLVIII — Le acquisizioni teoriche della sezione</w:t>
      </w:r>
    </w:p>
    <w:p>
      <w:pPr>
        <w:spacing w:line="276" w:lineRule="auto" w:after="120" w:before="0"/>
        <w:ind w:firstLine="425"/>
        <w:jc w:val="both"/>
      </w:pPr>
      <w:r>
        <w:rPr>
          <w:rFonts w:ascii="Times New Roman" w:hAnsi="Times New Roman" w:cs="Times New Roman" w:eastAsia="Times New Roman"/>
          <w:b w:val="0"/>
          <w:i w:val="0"/>
          <w:sz w:val="24"/>
        </w:rPr>
        <w:t>Il blocco raccoglie le acquisizioni di metodo prodotte dalla presente Camera Istruttoria, che costituiscono il suo esito principale e che si applicano retroattivamente all'intero registro.</w:t>
      </w:r>
    </w:p>
    <w:p>
      <w:pPr>
        <w:spacing w:line="276" w:lineRule="auto" w:after="120" w:before="0"/>
        <w:ind w:firstLine="425"/>
        <w:jc w:val="both"/>
      </w:pPr>
      <w:r>
        <w:rPr>
          <w:rFonts w:ascii="Times New Roman" w:hAnsi="Times New Roman" w:cs="Times New Roman" w:eastAsia="Times New Roman"/>
          <w:b w:val="0"/>
          <w:i w:val="0"/>
          <w:sz w:val="24"/>
        </w:rPr>
        <w:t>Sono acquisite come regole probatorie: l'equiparazione del marcatore di citazione non risolvibile all'assenza di fonte; la disciplina rafforzata a tre situazioni per le persone viventi; la ricerca obbligatoria della posizione contraria per il materiale di sintesi; il criterio della contaminazione narrativa; la regola secondo cui la non credibilita di una dichiarazione non trasferisce grado alla proposizione opposta; e la regola di asimmetria probatoria fra affermazioni negative universali e positive.</w:t>
      </w:r>
    </w:p>
    <w:p>
      <w:pPr>
        <w:spacing w:line="276" w:lineRule="auto" w:after="120" w:before="0"/>
        <w:ind w:firstLine="425"/>
        <w:jc w:val="both"/>
      </w:pPr>
      <w:r>
        <w:rPr>
          <w:rFonts w:ascii="Times New Roman" w:hAnsi="Times New Roman" w:cs="Times New Roman" w:eastAsia="Times New Roman"/>
          <w:b w:val="0"/>
          <w:i w:val="0"/>
          <w:sz w:val="24"/>
        </w:rPr>
        <w:t>Sono acquisite come categorie analitiche: l'accertamento tardivo non recepibile; il residuo esplicativo e la sua valutazione per convergenza; la coincidenza operativamente efficace; il depistaggio per qualificazione; la quarta variante della conformita formale denominata elusione operativa; e la struttura a intermediazione obbligata del grafo transnazionale.</w:t>
      </w:r>
    </w:p>
    <w:p>
      <w:pPr>
        <w:spacing w:line="276" w:lineRule="auto" w:after="120" w:before="0"/>
        <w:ind w:firstLine="425"/>
        <w:jc w:val="both"/>
      </w:pPr>
      <w:r>
        <w:rPr>
          <w:rFonts w:ascii="Times New Roman" w:hAnsi="Times New Roman" w:cs="Times New Roman" w:eastAsia="Times New Roman"/>
          <w:b w:val="0"/>
          <w:i w:val="0"/>
          <w:sz w:val="24"/>
        </w:rPr>
        <w:t>Sono acquisite come criteri sostanziali: la demarcazione delle filiere per rapporto con la potenza atlantica; la determinazione della forma di integrazione da parte del regime ospitante; il rango della cosca in funzione delle infrastrutture di transito; la gerarchia funzionale nella mobilita internazionale; e, elevata a criterio operativo permanente per corroborazione da tre campi indipendenti, la necessita di infrastrutture legali per le attivita illecite di scala.</w:t>
      </w:r>
    </w:p>
    <w:p>
      <w:pPr>
        <w:spacing w:line="276" w:lineRule="auto" w:after="120" w:before="0"/>
        <w:ind w:firstLine="425"/>
        <w:jc w:val="both"/>
      </w:pPr>
      <w:r>
        <w:rPr>
          <w:rFonts w:ascii="Times New Roman" w:hAnsi="Times New Roman" w:cs="Times New Roman" w:eastAsia="Times New Roman"/>
          <w:b w:val="0"/>
          <w:i w:val="0"/>
          <w:sz w:val="24"/>
        </w:rPr>
        <w:t>Il registro segnala che la produzione di sedici acquisizioni di metodo da un materiale in larga parte secondario conferma quanto gia rilevato altrove: il rendimento analitico di un corpus non e funzione della sua qualita probatoria, poiche un materiale debole sottoposto ad aggiudicazione rigorosa produce regole, mentre un materiale forte accolto acriticamente produce soltanto contenuto.</w:t>
      </w:r>
    </w:p>
    <w:p>
      <w:pPr>
        <w:spacing w:line="276" w:lineRule="auto" w:after="240" w:before="0"/>
        <w:ind w:firstLine="425"/>
        <w:jc w:val="both"/>
      </w:pPr>
      <w:r>
        <w:rPr>
          <w:rFonts w:ascii="Times New Roman" w:hAnsi="Times New Roman" w:cs="Times New Roman" w:eastAsia="Times New Roman"/>
          <w:b w:val="0"/>
          <w:i/>
          <w:sz w:val="22"/>
        </w:rPr>
        <w:t>Sintesi del dato nuovo acquisito: si consolidano sedici acquisizioni di metodo distinte in regole probatorie, categorie analitiche e criteri sostanziali, con applicazione retroattiva all'intero registro.</w:t>
      </w:r>
    </w:p>
    <w:p>
      <w:pPr>
        <w:spacing w:line="276" w:lineRule="auto" w:after="160" w:before="240"/>
        <w:jc w:val="left"/>
      </w:pPr>
      <w:r>
        <w:rPr>
          <w:rFonts w:ascii="Times New Roman" w:hAnsi="Times New Roman" w:cs="Times New Roman" w:eastAsia="Times New Roman"/>
          <w:b/>
          <w:i w:val="0"/>
          <w:sz w:val="26"/>
        </w:rPr>
        <w:t>Blocco XLIX — Stato dei falsificatori e correzioni dichiarate</w:t>
      </w:r>
    </w:p>
    <w:p>
      <w:pPr>
        <w:spacing w:line="276" w:lineRule="auto" w:after="120" w:before="0"/>
        <w:ind w:firstLine="425"/>
        <w:jc w:val="both"/>
      </w:pPr>
      <w:r>
        <w:rPr>
          <w:rFonts w:ascii="Times New Roman" w:hAnsi="Times New Roman" w:cs="Times New Roman" w:eastAsia="Times New Roman"/>
          <w:b w:val="0"/>
          <w:i w:val="0"/>
          <w:sz w:val="24"/>
        </w:rPr>
        <w:t>Il blocco riepiloga lo stato dei falsificatori designati e le correzioni operate sulle acquisizioni precedenti del ciclo.</w:t>
      </w:r>
    </w:p>
    <w:p>
      <w:pPr>
        <w:spacing w:line="276" w:lineRule="auto" w:after="120" w:before="0"/>
        <w:ind w:firstLine="425"/>
        <w:jc w:val="both"/>
      </w:pPr>
      <w:r>
        <w:rPr>
          <w:rFonts w:ascii="Times New Roman" w:hAnsi="Times New Roman" w:cs="Times New Roman" w:eastAsia="Times New Roman"/>
          <w:b w:val="0"/>
          <w:i w:val="0"/>
          <w:sz w:val="24"/>
        </w:rPr>
        <w:t xml:space="preserve">Il falsificatore della biforcazione non risulta soddisfatto: nessun atto operativo congiunto, finanziamento incrociato o struttura comune fra le due filiere risulta documentato nel materiale conferito. La tesi resta nondimeno al grado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xml:space="preserve"> per la ragione logica del blocco decimo, e il registro ribadisce che non documentato non significa escluso.</w:t>
      </w:r>
    </w:p>
    <w:p>
      <w:pPr>
        <w:spacing w:line="276" w:lineRule="auto" w:after="120" w:before="0"/>
        <w:ind w:firstLine="425"/>
        <w:jc w:val="both"/>
      </w:pPr>
      <w:r>
        <w:rPr>
          <w:rFonts w:ascii="Times New Roman" w:hAnsi="Times New Roman" w:cs="Times New Roman" w:eastAsia="Times New Roman"/>
          <w:b w:val="0"/>
          <w:i w:val="0"/>
          <w:sz w:val="24"/>
        </w:rPr>
        <w:t>Il falsificatore relativo alle terze forze in via Fani risulta a esito differenziato, soddisfatto per le anomalie riconducibili a lacune procedurali ordinarie e non soddisfatto per la pluralita dei luoghi di detenzione e per l'emersione ritardata della presenza dell'ufficiale del servizio militare.</w:t>
      </w:r>
    </w:p>
    <w:p>
      <w:pPr>
        <w:spacing w:line="276" w:lineRule="auto" w:after="120" w:before="0"/>
        <w:ind w:firstLine="425"/>
        <w:jc w:val="both"/>
      </w:pPr>
      <w:r>
        <w:rPr>
          <w:rFonts w:ascii="Times New Roman" w:hAnsi="Times New Roman" w:cs="Times New Roman" w:eastAsia="Times New Roman"/>
          <w:b w:val="0"/>
          <w:i w:val="0"/>
          <w:sz w:val="24"/>
        </w:rPr>
        <w:t>Il falsificatore relativo al canale finanziario romano risulta soddisfatto, e il nodo e escluso da ogni catena inferenziale.</w:t>
      </w:r>
    </w:p>
    <w:p>
      <w:pPr>
        <w:spacing w:line="276" w:lineRule="auto" w:after="120" w:before="0"/>
        <w:ind w:firstLine="425"/>
        <w:jc w:val="both"/>
      </w:pPr>
      <w:r>
        <w:rPr>
          <w:rFonts w:ascii="Times New Roman" w:hAnsi="Times New Roman" w:cs="Times New Roman" w:eastAsia="Times New Roman"/>
          <w:b w:val="0"/>
          <w:i w:val="0"/>
          <w:sz w:val="24"/>
        </w:rPr>
        <w:t xml:space="preserve">Sono dichiarate due correzioni a acquisizioni precedenti del ciclo. La prima e la falsificazione parziale del criterio diagnostico formulato nella sezione metafisica sul rapporto fra caste, riformulato al grado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xml:space="preserve"> nel senso che la divergenza dottrinale predice la forma e la direzione dell'attivita e non la sua presenza. La seconda e la delimitazione della tesi della biforcazione al livello fra filiere, con esclusione della sua applicazione al livello interno a ciascuna, dove le formazioni risultano al contrario reciprocamente integrate per accreditamento.</w:t>
      </w:r>
    </w:p>
    <w:p>
      <w:pPr>
        <w:spacing w:line="276" w:lineRule="auto" w:after="240" w:before="0"/>
        <w:ind w:firstLine="425"/>
        <w:jc w:val="both"/>
      </w:pPr>
      <w:r>
        <w:rPr>
          <w:rFonts w:ascii="Times New Roman" w:hAnsi="Times New Roman" w:cs="Times New Roman" w:eastAsia="Times New Roman"/>
          <w:b w:val="0"/>
          <w:i/>
          <w:sz w:val="22"/>
        </w:rPr>
        <w:t>Sintesi del dato nuovo acquisito: si riepiloga lo stato dei tre falsificatori, di cui uno non soddisfatto, uno a esito differenziato e uno soddisfatto, e si dichiarano formalmente due correzioni ad acquisizioni precedenti del ciclo.</w:t>
      </w:r>
    </w:p>
    <w:p>
      <w:pPr>
        <w:spacing w:line="276" w:lineRule="auto" w:after="160" w:before="240"/>
        <w:jc w:val="left"/>
      </w:pPr>
      <w:r>
        <w:rPr>
          <w:rFonts w:ascii="Times New Roman" w:hAnsi="Times New Roman" w:cs="Times New Roman" w:eastAsia="Times New Roman"/>
          <w:b/>
          <w:i w:val="0"/>
          <w:sz w:val="26"/>
        </w:rPr>
        <w:t>Blocco L — Bilancio e iscrizioni nella Tavola Unica</w:t>
      </w:r>
    </w:p>
    <w:p>
      <w:pPr>
        <w:spacing w:line="276" w:lineRule="auto" w:after="120" w:before="0"/>
        <w:ind w:firstLine="425"/>
        <w:jc w:val="both"/>
      </w:pPr>
      <w:r>
        <w:rPr>
          <w:rFonts w:ascii="Times New Roman" w:hAnsi="Times New Roman" w:cs="Times New Roman" w:eastAsia="Times New Roman"/>
          <w:b w:val="0"/>
          <w:i w:val="0"/>
          <w:sz w:val="24"/>
        </w:rPr>
        <w:t>Si ordina il bilancio della sezione secondo il rendimento.</w:t>
      </w:r>
    </w:p>
    <w:p>
      <w:pPr>
        <w:spacing w:line="276" w:lineRule="auto" w:after="120" w:before="0"/>
        <w:ind w:firstLine="425"/>
        <w:jc w:val="both"/>
      </w:pPr>
      <w:r>
        <w:rPr>
          <w:rFonts w:ascii="Times New Roman" w:hAnsi="Times New Roman" w:cs="Times New Roman" w:eastAsia="Times New Roman"/>
          <w:b w:val="0"/>
          <w:i w:val="0"/>
          <w:sz w:val="24"/>
        </w:rPr>
        <w:t xml:space="preserve">Fra le acquisizioni positive di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gli esiti giudiziari relativi all'omicidio del giornalista siciliano, con le due condanne del duemilauno e del duemiladue; il procedimento statunitense concluso nel millenovecentottantasette; l'attentato romano contro l'esponente politico cileno; la presenza e la qualifica dell'ufficiale del servizio militare in prossimita di via Fani, con il ritardo della sua emersione; l'esistenza e la falsita del comunicato del diciotto aprile con la sua contestualita rispetto al rinvenimento della base; e i fatti materiali dell'agguato del dodici aprile millenovecentosettantatre a Milano con le relative condanne.</w:t>
      </w:r>
    </w:p>
    <w:p>
      <w:pPr>
        <w:spacing w:line="276" w:lineRule="auto" w:after="120" w:before="0"/>
        <w:ind w:firstLine="425"/>
        <w:jc w:val="both"/>
      </w:pPr>
      <w:r>
        <w:rPr>
          <w:rFonts w:ascii="Times New Roman" w:hAnsi="Times New Roman" w:cs="Times New Roman" w:eastAsia="Times New Roman"/>
          <w:b w:val="0"/>
          <w:i w:val="0"/>
          <w:sz w:val="24"/>
        </w:rPr>
        <w:t xml:space="preserve">Fra le acquisizioni negative di pari rango: la confutazione del monolite dell'Internazionale Nera su tre piani distinti; il declassamento al grado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xml:space="preserve"> dell'assenza di sovrapposizione fra le filiere, che il materiale presentava come accertata; il declassamento al grado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xml:space="preserve"> dell'attribuzione del munizionamento di via Fani ai depositi clandestini; la correzione dell'attribuzione per sovrapposizione nella trasmissione della dottrina di controinsurrezione; l'esclusione del canale finanziario romano; e le tre esclusioni dichiarate al blocco quarantasettesimo.</w:t>
      </w:r>
    </w:p>
    <w:p>
      <w:pPr>
        <w:spacing w:line="276" w:lineRule="auto" w:after="120" w:before="0"/>
        <w:ind w:firstLine="425"/>
        <w:jc w:val="both"/>
      </w:pPr>
      <w:r>
        <w:rPr>
          <w:rFonts w:ascii="Times New Roman" w:hAnsi="Times New Roman" w:cs="Times New Roman" w:eastAsia="Times New Roman"/>
          <w:b w:val="0"/>
          <w:i w:val="0"/>
          <w:sz w:val="24"/>
        </w:rPr>
        <w:t>Si iscrivono nella Tavola Unica, in ordine decrescente di rimediabilita: la verifica del faldone dell'archivio della repressione paraguaiana contenente la registrazione sotto alias, puntualmente eseguibile; il censimento delle autorizzazioni all'esportazione rilasciate durante l'embargo; la comparazione tecnica fra munizionamento repertato e campioni dei depositi rinvenuti dopo il millenovecentonovanta; la ricerca dei nodi ponte fra le due filiere negli archivi editoriali e processuali; e la verifica esaustiva sulla popolazione finita degli atti relativi alle asserite assenze di viaggi.</w:t>
      </w:r>
    </w:p>
    <w:p>
      <w:pPr>
        <w:spacing w:line="276" w:lineRule="auto" w:after="120" w:before="0"/>
        <w:ind w:firstLine="425"/>
        <w:jc w:val="both"/>
      </w:pPr>
      <w:r>
        <w:rPr>
          <w:rFonts w:ascii="Times New Roman" w:hAnsi="Times New Roman" w:cs="Times New Roman" w:eastAsia="Times New Roman"/>
          <w:b w:val="0"/>
          <w:i w:val="0"/>
          <w:sz w:val="24"/>
        </w:rPr>
        <w:t>Si conferma che nessun blocco della sezione fonda o corrobora l'ipotesi macro, e si segnala anzi che la tesi della biforcazione, ove ulteriormente corroborata, ne indebolirebbe una premessa, poiche documenta che l'eversione nera transnazionale non ebbe un unico orientamento rispetto alle potenze e non poteva percio costituire strumento unitario di alcun disegno convergente.</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ordina il bilancio in sei acquisizioni positive di grado </w:t>
      </w:r>
      <w:r>
        <w:rPr>
          <w:rFonts w:ascii="Times New Roman" w:hAnsi="Times New Roman" w:cs="Times New Roman" w:eastAsia="Times New Roman"/>
          <w:b/>
          <w:i/>
          <w:sz w:val="22"/>
        </w:rPr>
        <w:t>A</w:t>
      </w:r>
      <w:r>
        <w:rPr>
          <w:rFonts w:ascii="Times New Roman" w:hAnsi="Times New Roman" w:cs="Times New Roman" w:eastAsia="Times New Roman"/>
          <w:b w:val="0"/>
          <w:i/>
          <w:sz w:val="22"/>
        </w:rPr>
        <w:t>, sei acquisizioni negative di pari rango e cinque iscrizioni in Tavola Unica, e si registra che la tesi della biforcazione, ove corroborata, indebolirebbe una premessa dell'ipotesi macro anziche sostenerla.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