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ind w:firstLine="0"/>
        <w:jc w:val="center"/>
      </w:pPr>
      <w:r>
        <w:rPr>
          <w:rFonts w:ascii="Times New Roman" w:hAnsi="Times New Roman" w:cs="Times New Roman" w:eastAsia="Times New Roman"/>
          <w:b/>
          <w:sz w:val="24"/>
        </w:rPr>
        <w:t>ITALIA NERA</w:t>
      </w:r>
    </w:p>
    <w:p>
      <w:pPr>
        <w:spacing w:line="276" w:lineRule="auto" w:before="0" w:after="80"/>
        <w:ind w:firstLine="0"/>
        <w:jc w:val="center"/>
      </w:pPr>
      <w:r>
        <w:rPr>
          <w:rFonts w:ascii="Times New Roman" w:hAnsi="Times New Roman" w:cs="Times New Roman" w:eastAsia="Times New Roman"/>
          <w:b/>
          <w:sz w:val="24"/>
        </w:rPr>
        <w:t>QUARTA SERIE — CINQUANTA BLOCCHI MIRATI</w:t>
      </w:r>
    </w:p>
    <w:p>
      <w:pPr>
        <w:spacing w:line="276" w:lineRule="auto" w:before="0" w:after="80"/>
        <w:ind w:firstLine="0"/>
        <w:jc w:val="center"/>
      </w:pPr>
      <w:r>
        <w:rPr>
          <w:rFonts w:ascii="Times New Roman" w:hAnsi="Times New Roman" w:cs="Times New Roman" w:eastAsia="Times New Roman"/>
          <w:b/>
          <w:sz w:val="24"/>
        </w:rPr>
        <w:t>Certificazione, verifica ed espansione dei Capitoli del Dossier nella linea V61–V70</w:t>
      </w:r>
    </w:p>
    <w:p>
      <w:pPr>
        <w:spacing w:line="276" w:lineRule="auto" w:before="0" w:after="80"/>
        <w:ind w:firstLine="0"/>
        <w:jc w:val="center"/>
      </w:pPr>
      <w:r>
        <w:rPr>
          <w:rFonts w:ascii="Times New Roman" w:hAnsi="Times New Roman" w:cs="Times New Roman" w:eastAsia="Times New Roman"/>
          <w:b/>
          <w:sz w:val="24"/>
        </w:rPr>
        <w:t>Luigi De Michele</w:t>
      </w:r>
    </w:p>
    <w:p>
      <w:pPr>
        <w:spacing w:line="276" w:lineRule="auto" w:before="0" w:after="80"/>
        <w:ind w:firstLine="0"/>
        <w:jc w:val="center"/>
      </w:pPr>
      <w:r>
        <w:rPr>
          <w:rFonts w:ascii="Times New Roman" w:hAnsi="Times New Roman" w:cs="Times New Roman" w:eastAsia="Times New Roman"/>
          <w:b/>
          <w:sz w:val="24"/>
        </w:rPr>
        <w:t>Venti agosto duemilaventisei</w:t>
      </w:r>
    </w:p>
    <w:p>
      <w:pPr>
        <w:spacing w:line="276" w:lineRule="auto" w:before="320" w:after="160"/>
        <w:ind w:firstLine="0"/>
        <w:jc w:val="center"/>
      </w:pPr>
      <w:r>
        <w:rPr>
          <w:rFonts w:ascii="Times New Roman" w:hAnsi="Times New Roman" w:cs="Times New Roman" w:eastAsia="Times New Roman"/>
          <w:b/>
          <w:sz w:val="24"/>
        </w:rPr>
        <w:t>NOTA DI APERTURA</w:t>
      </w:r>
    </w:p>
    <w:p>
      <w:pPr>
        <w:spacing w:line="276" w:lineRule="auto" w:before="0" w:after="0"/>
        <w:ind w:firstLine="425"/>
        <w:jc w:val="both"/>
      </w:pPr>
      <w:r>
        <w:rPr>
          <w:rFonts w:ascii="Times New Roman" w:hAnsi="Times New Roman" w:cs="Times New Roman" w:eastAsia="Times New Roman"/>
          <w:b w:val="0"/>
          <w:sz w:val="24"/>
        </w:rPr>
        <w:t>La quarta serie della triangolazione integrale assume la forma richiesta dei cinquanta blocchi mirati e adempie a tre funzioni: certifica lo stato dei Capitoli del Dossier nella linea che va dall'edizione V61 all'edizione V70, verificando quali delle consegne delle tre serie anteriori vi risultino recepite; verifica e documenta il quarto lotto di conferimento, venti unità delle quali diciassette uniche; espande i Capitoli con le materie nuove, formulando le proposte in ordine di rimediabilità. Restano ferme tutte le discipline delle serie anteriori — computi a confine di parola, riscontri per inclusione dopo normalizzazione dichiarata, gradi del Sistema Savona in grassetto, numeri in lettere con la sola eccezione delle sigle, delle segnature, degli identificativi di blocco e delle impronte, esclusione delle fonti vietate — con una deroga espressa e circoscritta: tre interrogazioni esterne mirate, per ricerca singola e non estesa, sono state condotte a sostegno dei blocchi dal 37 al 39, e le fonti vi sono nominate nel testo. La numerazione dei cinquanta blocchi è interna al presente registro e non entra nella catena federata degli identificativi dell'opera. I raffronti con le edizioni del Dossier sono condotti su estrazioni testuali da formato portatile: i computi che ne derivano sono soglie minime e l'avvertenza di trascodifica, dichiarata qui una volta, vale per l'intero documento.</w:t>
      </w:r>
    </w:p>
    <w:p>
      <w:pPr>
        <w:spacing w:line="276" w:lineRule="auto" w:before="320" w:after="160"/>
        <w:ind w:firstLine="0"/>
        <w:jc w:val="center"/>
      </w:pPr>
      <w:r>
        <w:rPr>
          <w:rFonts w:ascii="Times New Roman" w:hAnsi="Times New Roman" w:cs="Times New Roman" w:eastAsia="Times New Roman"/>
          <w:b/>
          <w:sz w:val="24"/>
        </w:rPr>
        <w:t>I. LA LINEA DEL DOSSIER E LA CERTIFICAZIONE DEI RECEPIMENTI</w:t>
      </w:r>
    </w:p>
    <w:p>
      <w:pPr>
        <w:spacing w:line="276" w:lineRule="auto" w:before="0" w:after="0"/>
        <w:ind w:firstLine="425"/>
        <w:jc w:val="both"/>
      </w:pPr>
      <w:r>
        <w:rPr>
          <w:rFonts w:ascii="Times New Roman" w:hAnsi="Times New Roman" w:cs="Times New Roman" w:eastAsia="Times New Roman"/>
          <w:b w:val="0"/>
          <w:sz w:val="24"/>
        </w:rPr>
        <w:t>Blocco mirato 1 — Statuto. Il presente registro non pronuncia adjudicazioni: certifica stati di recepimento per riscontro meccanico, verifica consistenze e identità, documenta il conferito e formula espansioni quali proposte alla Camera Istruttoria e alla sede federativa. Ogni esito è accompagnato dal grado o dalla natura del riscontro che lo sostiene, e ogni assenza è dichiarata come tale, mai convertita in asserzione.</w:t>
      </w:r>
    </w:p>
    <w:p>
      <w:pPr>
        <w:spacing w:line="276" w:lineRule="auto" w:before="0" w:after="0"/>
        <w:ind w:firstLine="425"/>
        <w:jc w:val="both"/>
      </w:pPr>
      <w:r>
        <w:rPr>
          <w:rFonts w:ascii="Times New Roman" w:hAnsi="Times New Roman" w:cs="Times New Roman" w:eastAsia="Times New Roman"/>
          <w:b w:val="0"/>
          <w:sz w:val="24"/>
        </w:rPr>
        <w:t>Blocco mirato 2 — Perimetro del lotto. Il quarto conferimento consta di venti unità: quattro edizioni del Dossier (V61, V68, V69, V70, con la V70 conferita due volte), l'opera morotea maggiore in formato portatile, sette schede e opere in formato di scrittura, due grafi genealogici in formato diagrammatico di cui uno in doppia stesura, due studi in formato portatile su Montalto e su Stoll, la monografia su Aginter Press in formato di scrittura e in formato portatile — quest'ultimo identico per impronta all'esemplare del terzo lotto — e un archivio compresso di quattrocentottantatré unità. Le unità uniche sono diciassette.</w:t>
      </w:r>
    </w:p>
    <w:p>
      <w:pPr>
        <w:spacing w:line="276" w:lineRule="auto" w:before="0" w:after="0"/>
        <w:ind w:firstLine="425"/>
        <w:jc w:val="both"/>
      </w:pPr>
      <w:r>
        <w:rPr>
          <w:rFonts w:ascii="Times New Roman" w:hAnsi="Times New Roman" w:cs="Times New Roman" w:eastAsia="Times New Roman"/>
          <w:b w:val="0"/>
          <w:sz w:val="24"/>
        </w:rPr>
        <w:t>Blocco mirato 3 — La linea del Dossier. La genealogia conferita è: V61, quarta tavola, il teatro dell'apartheid in forma granulare, centoventitremilacentosei parole; V63, sesta tavola, già in atti dalla prima serie, centotrentunomiladuecentoquarantotto; V68, undicesima tavola, il censimento Gladio del millenovecentocinquantanove, centotrentacinquemilanovecentoventuno; V70, tredicesima tavola, centotrentanovemilatrecentoventisette. Accanto alla linea del Dossier è conferito il Registro Unico Totale V69, un milione quattrocentodiciottomilacinquecentonovanta parole, che si identifica quale linea integrale dell'opera.</w:t>
      </w:r>
    </w:p>
    <w:p>
      <w:pPr>
        <w:spacing w:line="276" w:lineRule="auto" w:before="0" w:after="0"/>
        <w:ind w:firstLine="425"/>
        <w:jc w:val="both"/>
      </w:pPr>
      <w:r>
        <w:rPr>
          <w:rFonts w:ascii="Times New Roman" w:hAnsi="Times New Roman" w:cs="Times New Roman" w:eastAsia="Times New Roman"/>
          <w:b w:val="0"/>
          <w:sz w:val="24"/>
        </w:rPr>
        <w:t>Blocco mirato 4 — Cumulatività della linea: attestazione strutturale. Il censimento dei titoli interni della V70 restituisce tutte le tredici tavole, dalla prima alla tredicesima: la natura cumulativa della linea è attestata per struttura. La prova di inclusione meccanica fra le edizioni — V61 in V68, V68 in V70, V63 in V68 — dà invece esito negativo su estrazioni da formato portatile: per la regola fissata nella terza serie, l'esito si qualifica limite di trascodifica e non rottura, e la collazione sui formati nativi resta la voce che lo chiude.</w:t>
      </w:r>
    </w:p>
    <w:p>
      <w:pPr>
        <w:spacing w:line="276" w:lineRule="auto" w:before="0" w:after="0"/>
        <w:ind w:firstLine="425"/>
        <w:jc w:val="both"/>
      </w:pPr>
      <w:r>
        <w:rPr>
          <w:rFonts w:ascii="Times New Roman" w:hAnsi="Times New Roman" w:cs="Times New Roman" w:eastAsia="Times New Roman"/>
          <w:b w:val="0"/>
          <w:sz w:val="24"/>
        </w:rPr>
        <w:t>Blocco mirato 5 — Divergenza di designazione della tredicesima tavola. Il nome del file della V70 designa la tredicesima tavola con la formula Moro-Farnesina-Europa; il frontespizio interno la intitola alla vendetta del Che e a Monika Ertl, con il triangolo Bolivia-Amburgo-Milano e il teatro andino della Guerra fredda dal millenovecentoquarantotto al millenovecentottantatré. La divergenza fra designazione esterna e frontespizio si riporta senza comporre e si consegna alla sede editoriale per la riconciliazione.</w:t>
      </w:r>
    </w:p>
    <w:p>
      <w:pPr>
        <w:spacing w:line="276" w:lineRule="auto" w:before="0" w:after="0"/>
        <w:ind w:firstLine="425"/>
        <w:jc w:val="both"/>
      </w:pPr>
      <w:r>
        <w:rPr>
          <w:rFonts w:ascii="Times New Roman" w:hAnsi="Times New Roman" w:cs="Times New Roman" w:eastAsia="Times New Roman"/>
          <w:b w:val="0"/>
          <w:sz w:val="24"/>
        </w:rPr>
        <w:t>Blocco mirato 6 — Metodo della certificazione. Per ciascuna consegna delle tre serie anteriori è stato condotto un riscontro lessicale sulla V70, testa della linea: la presenza del lessema qualifica il recepimento come avvenuto, l'assenza lo qualifica come pendente. Il riscontro è soglia minima per l'avvertenza di trascodifica; le pendenze che seguono sono perciò formulate quali difetti di riscontro e non quali certezze di assenza.</w:t>
      </w:r>
    </w:p>
    <w:p>
      <w:pPr>
        <w:spacing w:line="276" w:lineRule="auto" w:before="0" w:after="0"/>
        <w:ind w:firstLine="425"/>
        <w:jc w:val="both"/>
      </w:pPr>
      <w:r>
        <w:rPr>
          <w:rFonts w:ascii="Times New Roman" w:hAnsi="Times New Roman" w:cs="Times New Roman" w:eastAsia="Times New Roman"/>
          <w:b w:val="0"/>
          <w:sz w:val="24"/>
        </w:rPr>
        <w:t>Blocco mirato 7 — Recepita la scala integrale degli Stati Zero. La V70 impiega il falso positivo in ventitré occorrenze, l'atto atipico in dieci, la barriera macchinica in sette: gli innesti dell'ottavo, del nono e del decimo grado, consegnati dalle serie anteriori sulla genealogia delle ricognizioni, risultano attivi nella testa della linea. Recepimento certificato.</w:t>
      </w:r>
    </w:p>
    <w:p>
      <w:pPr>
        <w:spacing w:line="276" w:lineRule="auto" w:before="0" w:after="0"/>
        <w:ind w:firstLine="425"/>
        <w:jc w:val="both"/>
      </w:pPr>
      <w:r>
        <w:rPr>
          <w:rFonts w:ascii="Times New Roman" w:hAnsi="Times New Roman" w:cs="Times New Roman" w:eastAsia="Times New Roman"/>
          <w:b w:val="0"/>
          <w:sz w:val="24"/>
        </w:rPr>
        <w:t>Blocco mirato 8 — Recepita la tensione topologica della prima serie. La specie topologica ricorre tre volte nella V70 e l'emendazione dell'indirizzo parigino di Hyperion al Quai de la Tournelle vi ricorre due volte: la tensione consegnata dalla prima serie — contaminazione di prossimità contro artefatto di catalogo — risulta accolta nel corpo del Dossier insieme all'emendazione toponomastica. Recepimento certificato.</w:t>
      </w:r>
    </w:p>
    <w:p>
      <w:pPr>
        <w:spacing w:line="276" w:lineRule="auto" w:before="0" w:after="0"/>
        <w:ind w:firstLine="425"/>
        <w:jc w:val="both"/>
      </w:pPr>
      <w:r>
        <w:rPr>
          <w:rFonts w:ascii="Times New Roman" w:hAnsi="Times New Roman" w:cs="Times New Roman" w:eastAsia="Times New Roman"/>
          <w:b w:val="0"/>
          <w:sz w:val="24"/>
        </w:rPr>
        <w:t>Blocco mirato 9 — Recepite le tre rettifiche dell'arsenale di Lula. Il toponimo Lula ricorre cinque volte nella V70, i missili terra-aria cinque, le Sterling due: le tre rettifiche consegnate dalla terza serie — il rinvenimento del febbraio millenovecentottantadue, la tipologia terra-aria, le sei Sterling — risultano transitate nel Dossier. Recepimento certificato.</w:t>
      </w:r>
    </w:p>
    <w:p>
      <w:pPr>
        <w:spacing w:line="276" w:lineRule="auto" w:before="0" w:after="0"/>
        <w:ind w:firstLine="425"/>
        <w:jc w:val="both"/>
      </w:pPr>
      <w:r>
        <w:rPr>
          <w:rFonts w:ascii="Times New Roman" w:hAnsi="Times New Roman" w:cs="Times New Roman" w:eastAsia="Times New Roman"/>
          <w:b w:val="0"/>
          <w:sz w:val="24"/>
        </w:rPr>
        <w:t xml:space="preserve">Blocco mirato 10 — Pendente la fragilità della fonte sull'Oder-Neisse. Né il nome del negoziatore Hummel né la testata vaticana ricorrono nella V70: la tensione consegnata dalla seconda serie — il nesso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sulla sequenza del giugno millenovecentosettantadue sorretto da una citazione priva di nota — non risulta trattata, e la verifica sull'edizione del ventinove-trenta giugno millenovecentosettantadue della testata resta la condizione dichiarata. Pendenza confermata e riconsegnata alla Camera Istruttoria.</w:t>
      </w:r>
    </w:p>
    <w:p>
      <w:pPr>
        <w:spacing w:line="276" w:lineRule="auto" w:before="0" w:after="0"/>
        <w:ind w:firstLine="425"/>
        <w:jc w:val="both"/>
      </w:pPr>
      <w:r>
        <w:rPr>
          <w:rFonts w:ascii="Times New Roman" w:hAnsi="Times New Roman" w:cs="Times New Roman" w:eastAsia="Times New Roman"/>
          <w:b w:val="0"/>
          <w:sz w:val="24"/>
        </w:rPr>
        <w:t>Blocco mirato 11 — Pendente la dodicesima ricognizione. Il caso keniota e la terza modalità della costruzione endogena non ricorrono nella V70: l'emendazione del modello a due modalità, consegnata dalla seconda serie, non risulta recepita. Pendenza confermata.</w:t>
      </w:r>
    </w:p>
    <w:p>
      <w:pPr>
        <w:spacing w:line="276" w:lineRule="auto" w:before="0" w:after="0"/>
        <w:ind w:firstLine="425"/>
        <w:jc w:val="both"/>
      </w:pPr>
      <w:r>
        <w:rPr>
          <w:rFonts w:ascii="Times New Roman" w:hAnsi="Times New Roman" w:cs="Times New Roman" w:eastAsia="Times New Roman"/>
          <w:b w:val="0"/>
          <w:sz w:val="24"/>
        </w:rPr>
        <w:t>Blocco mirato 12 — Pendenti le cinque proposizioni e la tavola delle quattordici sedi. Le formule delle cinque proposizioni erariali e delle quattordici sedi archivistiche non ricorrono nella V70: il compendio conclusivo della seconda serie resta fuori dal corpo del Dossier. Pendenza confermata.</w:t>
      </w:r>
    </w:p>
    <w:p>
      <w:pPr>
        <w:spacing w:line="276" w:lineRule="auto" w:before="0" w:after="0"/>
        <w:ind w:firstLine="425"/>
        <w:jc w:val="both"/>
      </w:pPr>
      <w:r>
        <w:rPr>
          <w:rFonts w:ascii="Times New Roman" w:hAnsi="Times New Roman" w:cs="Times New Roman" w:eastAsia="Times New Roman"/>
          <w:b w:val="0"/>
          <w:sz w:val="24"/>
        </w:rPr>
        <w:t>Blocco mirato 13 — Pendenti la linea speculare e gli apporti non lessicalizzati. Gli anelli profondi, il Salto della Quaglia e la metodologia consacrata, in entrambe le grafie Norimaviv e Normaviva, non ricorrono nella V70: la carta della saturazione, la risultanza della ragnatela e la doppia grafia da registrare restano candidature aperte. Pendenza confermata.</w:t>
      </w:r>
    </w:p>
    <w:p>
      <w:pPr>
        <w:spacing w:line="276" w:lineRule="auto" w:before="0" w:after="0"/>
        <w:ind w:firstLine="425"/>
        <w:jc w:val="both"/>
      </w:pPr>
      <w:r>
        <w:rPr>
          <w:rFonts w:ascii="Times New Roman" w:hAnsi="Times New Roman" w:cs="Times New Roman" w:eastAsia="Times New Roman"/>
          <w:b w:val="0"/>
          <w:sz w:val="24"/>
        </w:rPr>
        <w:t>Blocco mirato 14 — Pendente l'iscrizione dell'opera maggiore. Né il titolo dell'opera morotea maggiore né la sua impronta c685cc3e ricorrono nella V70, e le tre serie di triangolazione non vi risultano citate: il circuito di recepimento fra la linea del Dossier e la linea della triangolazione non è ancora formalizzato. Pendenza registrata.</w:t>
      </w:r>
    </w:p>
    <w:p>
      <w:pPr>
        <w:spacing w:line="276" w:lineRule="auto" w:before="0" w:after="0"/>
        <w:ind w:firstLine="425"/>
        <w:jc w:val="both"/>
      </w:pPr>
      <w:r>
        <w:rPr>
          <w:rFonts w:ascii="Times New Roman" w:hAnsi="Times New Roman" w:cs="Times New Roman" w:eastAsia="Times New Roman"/>
          <w:b w:val="0"/>
          <w:sz w:val="24"/>
        </w:rPr>
        <w:t>Blocco mirato 15 — Presenze già attive nel Dossier. Montalto ricorre sette volte nella V70 e il titolo dell'architetto del caos due: il Dossier possiede già il vertice aspromontano e cita già l'opera sul filosofo eurasiatista, sicché due conferimenti del lotto — la scheda sul summit e l'opera citata — operano quali certificazioni di fonti già impiegate. La Camera Istruttoria vi ricorre centoquarantuno volte: l'istituto è pienamente attivo.</w:t>
      </w:r>
    </w:p>
    <w:p>
      <w:pPr>
        <w:spacing w:line="276" w:lineRule="auto" w:before="0" w:after="0"/>
        <w:ind w:firstLine="425"/>
        <w:jc w:val="both"/>
      </w:pPr>
      <w:r>
        <w:rPr>
          <w:rFonts w:ascii="Times New Roman" w:hAnsi="Times New Roman" w:cs="Times New Roman" w:eastAsia="Times New Roman"/>
          <w:b w:val="0"/>
          <w:sz w:val="24"/>
        </w:rPr>
        <w:t>Blocco mirato 16 — Bilancio della certificazione. Delle consegne delle tre serie risultano recepite nella testa della linea: la scala integrale dei gradi, la tensione topologica con l'emendazione del Quai de la Tournelle, le tre rettifiche di Lula. Risultano pendenti: la fragilità dell'Oder-Neisse, la dodicesima ricognizione, le cinque proposizioni con le quattordici sedi, la linea speculare, la doppia grafia, l'iscrizione dell'opera maggiore e delle serie di triangolazione. Tre accoglimenti, sette pendenze: il circuito funziona e resta da completare.</w:t>
      </w:r>
    </w:p>
    <w:p>
      <w:pPr>
        <w:spacing w:line="276" w:lineRule="auto" w:before="320" w:after="160"/>
        <w:ind w:firstLine="0"/>
        <w:jc w:val="center"/>
      </w:pPr>
      <w:r>
        <w:rPr>
          <w:rFonts w:ascii="Times New Roman" w:hAnsi="Times New Roman" w:cs="Times New Roman" w:eastAsia="Times New Roman"/>
          <w:b/>
          <w:sz w:val="24"/>
        </w:rPr>
        <w:t>II. L'OPERA MOROTEA MAGGIORE: CONFERIMENTO E CERTIFICAZIONE</w:t>
      </w:r>
    </w:p>
    <w:p>
      <w:pPr>
        <w:spacing w:line="276" w:lineRule="auto" w:before="0" w:after="0"/>
        <w:ind w:firstLine="425"/>
        <w:jc w:val="both"/>
      </w:pPr>
      <w:r>
        <w:rPr>
          <w:rFonts w:ascii="Times New Roman" w:hAnsi="Times New Roman" w:cs="Times New Roman" w:eastAsia="Times New Roman"/>
          <w:b w:val="0"/>
          <w:sz w:val="24"/>
        </w:rPr>
        <w:t>Blocco mirato 17 — Chiusura della prima misura di copertura. L'opera morotea maggiore, che la terza serie aveva accertato certificata dalla propria scheda e assente dagli atti, è ora conferita in formato portatile: la prima misura di copertura del terzo lotto si chiude. Il conferimento avviene nel medesimo lotto che reca la linea del Dossier: le due linee maggiori dell'opera sono per la prima volta simultaneamente in atti.</w:t>
      </w:r>
    </w:p>
    <w:p>
      <w:pPr>
        <w:spacing w:line="276" w:lineRule="auto" w:before="0" w:after="0"/>
        <w:ind w:firstLine="425"/>
        <w:jc w:val="both"/>
      </w:pPr>
      <w:r>
        <w:rPr>
          <w:rFonts w:ascii="Times New Roman" w:hAnsi="Times New Roman" w:cs="Times New Roman" w:eastAsia="Times New Roman"/>
          <w:b w:val="0"/>
          <w:sz w:val="24"/>
        </w:rPr>
        <w:t xml:space="preserve">Blocco mirato 18 — Identificazione per titolo, struttura e scala. L'esemplare conferito reca il titolo certificato dalla scheda di consegna, la struttura in blocchi mirati e la scala probatoria attiva: l'estrazione testuale restituisce milleecinquantotto occorrenze del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trecentoquaranta del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duecentoventotto del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contro le millottanta, trecentocinquantuno e duecentotrentadue della scheda. Trattandosi di soglie minime per effetto degli a-capo di estrazione, la scala risulta compatibile e l'identificazione dell'opera si certifica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val="0"/>
          <w:sz w:val="24"/>
        </w:rPr>
        <w:t>Blocco mirato 19 — Consistenze e posteriorità. L'esemplare conta settecentosessantadue pagine contro le settecentoquarantanove della scheda, tremilatrecentoventiquattro richiami di blocco contro i tremiladuecentoundici blocchi certificati, e trecentosessantaquattromilaseicentocinque parole estratte contro le trecentosettantaquattromilacinquecentonovantatré dichiarate. La crescita di pagine e blocchi indica un'edizione posteriore alla scheda; il difetto di parole è coerente con la perdita d'estrazione. Le divergenze si riportano senza comporre e la scheda andrà aggiornata all'edizione conferita.</w:t>
      </w:r>
    </w:p>
    <w:p>
      <w:pPr>
        <w:spacing w:line="276" w:lineRule="auto" w:before="0" w:after="0"/>
        <w:ind w:firstLine="425"/>
        <w:jc w:val="both"/>
      </w:pPr>
      <w:r>
        <w:rPr>
          <w:rFonts w:ascii="Times New Roman" w:hAnsi="Times New Roman" w:cs="Times New Roman" w:eastAsia="Times New Roman"/>
          <w:b w:val="0"/>
          <w:sz w:val="24"/>
        </w:rPr>
        <w:t>Blocco mirato 20 — L'impronta. L'impronta c685cc3e certificata dalla scheda designa l'esemplare nativo in formato di scrittura; il conferimento è avvenuto in formato portatile, la cui impronta necessariamente differisce. L'identità è perciò sorretta da titolo, struttura, scala e consistenze, non dall'impronta: il conferimento dell'esemplare nativo resta voce utile, degradata da prima a ordinaria per rendimento.</w:t>
      </w:r>
    </w:p>
    <w:p>
      <w:pPr>
        <w:spacing w:line="276" w:lineRule="auto" w:before="0" w:after="0"/>
        <w:ind w:firstLine="425"/>
        <w:jc w:val="both"/>
      </w:pPr>
      <w:r>
        <w:rPr>
          <w:rFonts w:ascii="Times New Roman" w:hAnsi="Times New Roman" w:cs="Times New Roman" w:eastAsia="Times New Roman"/>
          <w:b w:val="0"/>
          <w:sz w:val="24"/>
        </w:rPr>
        <w:t>Blocco mirato 21 — Verifica interna su Stoll. Il nome di Stoll e la data del sei settembre non ricorrono nell'opera maggiore: l'emendazione consegnata dalla seconda serie riguardava la quindicesima voce della tavola del memorandum operativo, non l'opera, e il riscontro odierno conferma che l'opera non reca l'asserzione da emendare. La scheda biografica su Stoll conferita nel lotto certifica la morte a Düsseldorf il sei settembre millenovecentosettantotto, qualifica l'attribuzione dei documenti sulle Brigate Rosse quale asserzione di un servizio non riscontrata dalle fonti tedesche e riduce i viaggi accertati in Italia al solo caso di altro militante. Emendazione confermata con fonte dedicata.</w:t>
      </w:r>
    </w:p>
    <w:p>
      <w:pPr>
        <w:spacing w:line="276" w:lineRule="auto" w:before="0" w:after="0"/>
        <w:ind w:firstLine="425"/>
        <w:jc w:val="both"/>
      </w:pPr>
      <w:r>
        <w:rPr>
          <w:rFonts w:ascii="Times New Roman" w:hAnsi="Times New Roman" w:cs="Times New Roman" w:eastAsia="Times New Roman"/>
          <w:b w:val="0"/>
          <w:sz w:val="24"/>
        </w:rPr>
        <w:t>Blocco mirato 22 — Statuto dell'opera conferita. L'opera maggiore entra in atti quale prodotto dell'opera: per la regola vigente, i prodotti dell'opera non sono fonti dell'opera, e le sue proposizioni si triangolano risalendo alle fonti esterne che essa cita, non citando l'opera medesima. Il conferimento serve la collazione, il censimento delle sessantatré regole e delle quarantacinque figure, e la verifica delle direttrici aperte.</w:t>
      </w:r>
    </w:p>
    <w:p>
      <w:pPr>
        <w:spacing w:line="276" w:lineRule="auto" w:before="320" w:after="160"/>
        <w:ind w:firstLine="0"/>
        <w:jc w:val="center"/>
      </w:pPr>
      <w:r>
        <w:rPr>
          <w:rFonts w:ascii="Times New Roman" w:hAnsi="Times New Roman" w:cs="Times New Roman" w:eastAsia="Times New Roman"/>
          <w:b/>
          <w:sz w:val="24"/>
        </w:rPr>
        <w:t>III. L'ARCHIVIO COMPRESSO: CENSIMENTO DEL FONDO</w:t>
      </w:r>
    </w:p>
    <w:p>
      <w:pPr>
        <w:spacing w:line="276" w:lineRule="auto" w:before="0" w:after="0"/>
        <w:ind w:firstLine="425"/>
        <w:jc w:val="both"/>
      </w:pPr>
      <w:r>
        <w:rPr>
          <w:rFonts w:ascii="Times New Roman" w:hAnsi="Times New Roman" w:cs="Times New Roman" w:eastAsia="Times New Roman"/>
          <w:b w:val="0"/>
          <w:sz w:val="24"/>
        </w:rPr>
        <w:t>Blocco mirato 23 — Censimento. L'archivio compresso consta di quattrocentottantatré unità: cento pagine di catalogo dell'archivio elettronico declassificato dell'agenzia statunitense; trentanove resoconti della Commissione parlamentare sulle stragi della decima legislatura, dal ventitré novembre millenovecentottantotto; una serie di resoconti dell'undicesima legislatura dal dieci giugno millenovecentonovantadue; atti della dodicesima legislatura, fra cui due proposte di legge sul segreto di Stato e sulle schedature, la relazione governativa sulla politica informativa e audizioni dell'Antimafia.</w:t>
      </w:r>
    </w:p>
    <w:p>
      <w:pPr>
        <w:spacing w:line="276" w:lineRule="auto" w:before="0" w:after="0"/>
        <w:ind w:firstLine="425"/>
        <w:jc w:val="both"/>
      </w:pPr>
      <w:r>
        <w:rPr>
          <w:rFonts w:ascii="Times New Roman" w:hAnsi="Times New Roman" w:cs="Times New Roman" w:eastAsia="Times New Roman"/>
          <w:b w:val="0"/>
          <w:sz w:val="24"/>
        </w:rPr>
        <w:t>Blocco mirato 24 — Saldatura col corpus parlamentare. La serie della decima legislatura si salda alla serie dei processi verbali già in dotazione, che principia dal settembre millenovecentottantotto e prosegue nel millenovecentonovantadue: il fondo colma il tratto delle audizioni — Cirillo, Ustica, Peteano, la loggia, il golpe — di cui la dotazione possedeva i soli verbali deliberativi. La prima proposta di legge della dodicesima legislatura risulta già in dotazione: si applica la disciplina della deduplicazione per contenuto.</w:t>
      </w:r>
    </w:p>
    <w:p>
      <w:pPr>
        <w:spacing w:line="276" w:lineRule="auto" w:before="0" w:after="0"/>
        <w:ind w:firstLine="425"/>
        <w:jc w:val="both"/>
      </w:pPr>
      <w:r>
        <w:rPr>
          <w:rFonts w:ascii="Times New Roman" w:hAnsi="Times New Roman" w:cs="Times New Roman" w:eastAsia="Times New Roman"/>
          <w:b w:val="0"/>
          <w:sz w:val="24"/>
        </w:rPr>
        <w:t>Blocco mirato 25 — Natura del fondo declassificato. Le cento unità dell'archivio elettronico sono pagine di catalogo di un portale di declassificazione, non documenti primari: la disciplina dell'Indice di Contaminazione le iscrive quali soglie d'accesso, e il decimo grado della scala — la barriera macchinica — resta l'istituto che ne governa i casi di inaccessibilità. Ogni impiego dovrà risalire al documento primario che la pagina di catalogo indica.</w:t>
      </w:r>
    </w:p>
    <w:p>
      <w:pPr>
        <w:spacing w:line="276" w:lineRule="auto" w:before="0" w:after="0"/>
        <w:ind w:firstLine="425"/>
        <w:jc w:val="both"/>
      </w:pPr>
      <w:r>
        <w:rPr>
          <w:rFonts w:ascii="Times New Roman" w:hAnsi="Times New Roman" w:cs="Times New Roman" w:eastAsia="Times New Roman"/>
          <w:b w:val="0"/>
          <w:sz w:val="24"/>
        </w:rPr>
        <w:t>Blocco mirato 26 — Due sonde nel fondo. Due unità esemplificano l'estensione: l'analisi psicologica del dittatore tedesco, che apre al filone della guerra psicologica delle origini, e i sommari settimanali del biennio millenovecentoquarantasette-quarantotto, che documentano la lettura alleata dell'Italia della guerra fredda nascente. Entrambe operano quali estensioni dei filoni Storia Nera e Mondo Nero e attendono risalita ai documenti primari.</w:t>
      </w:r>
    </w:p>
    <w:p>
      <w:pPr>
        <w:spacing w:line="276" w:lineRule="auto" w:before="0" w:after="0"/>
        <w:ind w:firstLine="425"/>
        <w:jc w:val="both"/>
      </w:pPr>
      <w:r>
        <w:rPr>
          <w:rFonts w:ascii="Times New Roman" w:hAnsi="Times New Roman" w:cs="Times New Roman" w:eastAsia="Times New Roman"/>
          <w:b w:val="0"/>
          <w:sz w:val="24"/>
        </w:rPr>
        <w:t>Blocco mirato 27 — Prescrizione sul fondo. Il fondo entra in atti privo di identificativi: la dotazione di una serie di identificativi stabili, con segnatura per legislatura e per data quanto agli atti parlamentari e per collocazione di catalogo quanto alle unità declassificate, si iscrive quale pendenza di classe prima, condizione di ogni citazione futura.</w:t>
      </w:r>
    </w:p>
    <w:p>
      <w:pPr>
        <w:spacing w:line="276" w:lineRule="auto" w:before="320" w:after="160"/>
        <w:ind w:firstLine="0"/>
        <w:jc w:val="center"/>
      </w:pPr>
      <w:r>
        <w:rPr>
          <w:rFonts w:ascii="Times New Roman" w:hAnsi="Times New Roman" w:cs="Times New Roman" w:eastAsia="Times New Roman"/>
          <w:b/>
          <w:sz w:val="24"/>
        </w:rPr>
        <w:t>IV. LE OPERE E LE SCHEDE NUOVE</w:t>
      </w:r>
    </w:p>
    <w:p>
      <w:pPr>
        <w:spacing w:line="276" w:lineRule="auto" w:before="0" w:after="0"/>
        <w:ind w:firstLine="425"/>
        <w:jc w:val="both"/>
      </w:pPr>
      <w:r>
        <w:rPr>
          <w:rFonts w:ascii="Times New Roman" w:hAnsi="Times New Roman" w:cs="Times New Roman" w:eastAsia="Times New Roman"/>
          <w:b w:val="0"/>
          <w:sz w:val="24"/>
        </w:rPr>
        <w:t>Blocco mirato 28 — L'architetto del caos. L'opera sul filosofo eurasiatista, diciassettemilacentottantotto parole, è conferita quale fonte che la V70 già cita due volte: il conferimento trasforma una citazione in fonte verificabile in atti. La materia appartiene alla Formazione Beta e si raccorda ai capitoli russi dell'Edizione Integrata.</w:t>
      </w:r>
    </w:p>
    <w:p>
      <w:pPr>
        <w:spacing w:line="276" w:lineRule="auto" w:before="0" w:after="0"/>
        <w:ind w:firstLine="425"/>
        <w:jc w:val="both"/>
      </w:pPr>
      <w:r>
        <w:rPr>
          <w:rFonts w:ascii="Times New Roman" w:hAnsi="Times New Roman" w:cs="Times New Roman" w:eastAsia="Times New Roman"/>
          <w:b w:val="0"/>
          <w:sz w:val="24"/>
        </w:rPr>
        <w:t>Blocco mirato 29 — L'Asse Italeurasia. Lo studio integrale espanso sulla rete di influenza filo-russa in Italia — soggetti, strutture e opacità — conta ottantaseimilanovecentotrentuno parole e non ricorre nella V70: si candida quale corpo maggiore della Formazione Beta per l'espansione dei capitoli sull'influenza orientale, con triangolazione delle sue proposizioni sulle fonti che esso cita.</w:t>
      </w:r>
    </w:p>
    <w:p>
      <w:pPr>
        <w:spacing w:line="276" w:lineRule="auto" w:before="0" w:after="0"/>
        <w:ind w:firstLine="425"/>
        <w:jc w:val="both"/>
      </w:pPr>
      <w:r>
        <w:rPr>
          <w:rFonts w:ascii="Times New Roman" w:hAnsi="Times New Roman" w:cs="Times New Roman" w:eastAsia="Times New Roman"/>
          <w:b w:val="0"/>
          <w:sz w:val="24"/>
        </w:rPr>
        <w:t>Blocco mirato 30 — Una Pace senza Pace. L'opera morotea parallela conta centoventiseimilacinquecentoventiquattro parole e si affianca, senza confondersi, all'opera maggiore: il suo statuto — prodotto o fonte, linea autonoma o ramo — non è dichiarato negli atti conferiti e la sua qualificazione si iscrive quale quesito alla sede editoriale prima di ogni impiego.</w:t>
      </w:r>
    </w:p>
    <w:p>
      <w:pPr>
        <w:spacing w:line="276" w:lineRule="auto" w:before="0" w:after="0"/>
        <w:ind w:firstLine="425"/>
        <w:jc w:val="both"/>
      </w:pPr>
      <w:r>
        <w:rPr>
          <w:rFonts w:ascii="Times New Roman" w:hAnsi="Times New Roman" w:cs="Times New Roman" w:eastAsia="Times New Roman"/>
          <w:b w:val="0"/>
          <w:sz w:val="24"/>
        </w:rPr>
        <w:t>Blocco mirato 31 — Il Summit di Montalto: la scheda. La scheda conferita descrive il vertice del ventisei ottobre millenovecentosessantanove sull'Aspromonte, con la partecipazione di circa centocinquanta capibastone e l'incontro con l'estrema destra. Il Dossier possiede già il vertice con sette occorrenze: la scheda opera quale espansione del Dominio primo e dell'arco fra i Domini primo e settimo, con la gradazione che il blocco 39 precisa.</w:t>
      </w:r>
    </w:p>
    <w:p>
      <w:pPr>
        <w:spacing w:line="276" w:lineRule="auto" w:before="0" w:after="0"/>
        <w:ind w:firstLine="425"/>
        <w:jc w:val="both"/>
      </w:pPr>
      <w:r>
        <w:rPr>
          <w:rFonts w:ascii="Times New Roman" w:hAnsi="Times New Roman" w:cs="Times New Roman" w:eastAsia="Times New Roman"/>
          <w:b w:val="0"/>
          <w:sz w:val="24"/>
        </w:rPr>
        <w:t>Blocco mirato 32 — I Maestri Cosmici. Il dossier delle dieci testimonianze, quattromilatrecentonovantatré parole, risulta già in dotazione di progetto: il conferimento è conferma, non novità, e la disciplina della deduplicazione per contenuto vi si applica senza residuo.</w:t>
      </w:r>
    </w:p>
    <w:p>
      <w:pPr>
        <w:spacing w:line="276" w:lineRule="auto" w:before="0" w:after="0"/>
        <w:ind w:firstLine="425"/>
        <w:jc w:val="both"/>
      </w:pPr>
      <w:r>
        <w:rPr>
          <w:rFonts w:ascii="Times New Roman" w:hAnsi="Times New Roman" w:cs="Times New Roman" w:eastAsia="Times New Roman"/>
          <w:b w:val="0"/>
          <w:sz w:val="24"/>
        </w:rPr>
        <w:t>Blocco mirato 33 — Le raccolte cumulative del Campo di Battaglia. Le due raccolte — le schede unificate, centoventicinquemilaottocentoventisette parole, e tutte le schede, centocinquemiladuecentoventisei — recano il medesimo frontespizio del Campo di Battaglia e si sovrappongono per costruzione alla dotazione di progetto: entrano in atti quali raccolte cumulative, con obbligo di deduplicazione scheda per scheda prima di ogni citazione, per non moltiplicare artificiosamente le catene di riscontro.</w:t>
      </w:r>
    </w:p>
    <w:p>
      <w:pPr>
        <w:spacing w:line="276" w:lineRule="auto" w:before="0" w:after="0"/>
        <w:ind w:firstLine="425"/>
        <w:jc w:val="both"/>
      </w:pPr>
      <w:r>
        <w:rPr>
          <w:rFonts w:ascii="Times New Roman" w:hAnsi="Times New Roman" w:cs="Times New Roman" w:eastAsia="Times New Roman"/>
          <w:b w:val="0"/>
          <w:sz w:val="24"/>
        </w:rPr>
        <w:t>Blocco mirato 34 — La genealogia universale del sacro. Il grafo genealogico dai primordi cosmogonici all'età contemporanea è conferito in due stesure divergenti, duemilacentoquarantatré e duemilacentottantatré parole: come già per il registro antartico, le due stesure non si deduplicano e si iscrivono entrambe all'Indice di Contaminazione quale doppia stesura, con obbligo di dichiarare quale delle due si impiega.</w:t>
      </w:r>
    </w:p>
    <w:p>
      <w:pPr>
        <w:spacing w:line="276" w:lineRule="auto" w:before="0" w:after="0"/>
        <w:ind w:firstLine="425"/>
        <w:jc w:val="both"/>
      </w:pPr>
      <w:r>
        <w:rPr>
          <w:rFonts w:ascii="Times New Roman" w:hAnsi="Times New Roman" w:cs="Times New Roman" w:eastAsia="Times New Roman"/>
          <w:b w:val="0"/>
          <w:sz w:val="24"/>
        </w:rPr>
        <w:t>Blocco mirato 35 — Le ventuno catene di successione. Il secondo grafo, millenovecentotrentadue parole, espande il ramo terminale del grafo generale nelle ventuno catene di successione che sfociano nel presente: la materia appartiene al filone Storia Nera e il formato diagrammatico ne fa un artefatto di struttura, non un testo dell'opera.</w:t>
      </w:r>
    </w:p>
    <w:p>
      <w:pPr>
        <w:spacing w:line="276" w:lineRule="auto" w:before="0" w:after="0"/>
        <w:ind w:firstLine="425"/>
        <w:jc w:val="both"/>
      </w:pPr>
      <w:r>
        <w:rPr>
          <w:rFonts w:ascii="Times New Roman" w:hAnsi="Times New Roman" w:cs="Times New Roman" w:eastAsia="Times New Roman"/>
          <w:b w:val="0"/>
          <w:sz w:val="24"/>
        </w:rPr>
        <w:t>Blocco mirato 36 — Prescrizione sui grafi. I due grafi genealogici entrano in atti nel loro formato diagrammatico: la resa in prosa accademica continua, richiesta dallo statuto dell'opera per ogni corpo federato, si iscrive quale pendenza, e sino ad allora i grafi valgono quali strumenti di lavoro e non quali capitoli.</w:t>
      </w:r>
    </w:p>
    <w:p>
      <w:pPr>
        <w:spacing w:line="276" w:lineRule="auto" w:before="320" w:after="160"/>
        <w:ind w:firstLine="0"/>
        <w:jc w:val="center"/>
      </w:pPr>
      <w:r>
        <w:rPr>
          <w:rFonts w:ascii="Times New Roman" w:hAnsi="Times New Roman" w:cs="Times New Roman" w:eastAsia="Times New Roman"/>
          <w:b/>
          <w:sz w:val="24"/>
        </w:rPr>
        <w:t>V. LE VERIFICHE MIRATE</w:t>
      </w:r>
    </w:p>
    <w:p>
      <w:pPr>
        <w:spacing w:line="276" w:lineRule="auto" w:before="0" w:after="0"/>
        <w:ind w:firstLine="425"/>
        <w:jc w:val="both"/>
      </w:pPr>
      <w:r>
        <w:rPr>
          <w:rFonts w:ascii="Times New Roman" w:hAnsi="Times New Roman" w:cs="Times New Roman" w:eastAsia="Times New Roman"/>
          <w:b w:val="0"/>
          <w:sz w:val="24"/>
        </w:rPr>
        <w:t xml:space="preserve">Blocco mirato 37 — Verifica esterna prima: la licenza aeronautica del millenovecentosessantaquattro. L'interrogazione mirata, condotta su repertori aeronautici e storiografici in lingua inglese, conferma concordemente che il Sudafrica ottenne nel millenovecentosessantaquattro la licenza di produzione dell'addestratore italiano MB-326M, ridenominato Impala Mk I, con produzione avviata nel millenovecentosessantasei presso la Atlas Aircraft Corporation, una quarantina di esemplari di costruzione italiana e circa centoventicinque di costruzione locale, cui seguì dal millenovecentosettantaquattro la versione monoposto Impala Mk II. Il nucleo della tavola dell'apartheid sulla filiera aeronautica ne esce confermato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convergenza di repertori indipendenti.</w:t>
      </w:r>
    </w:p>
    <w:p>
      <w:pPr>
        <w:spacing w:line="276" w:lineRule="auto" w:before="0" w:after="0"/>
        <w:ind w:firstLine="425"/>
        <w:jc w:val="both"/>
      </w:pPr>
      <w:r>
        <w:rPr>
          <w:rFonts w:ascii="Times New Roman" w:hAnsi="Times New Roman" w:cs="Times New Roman" w:eastAsia="Times New Roman"/>
          <w:b w:val="0"/>
          <w:sz w:val="24"/>
        </w:rPr>
        <w:t xml:space="preserve">Blocco mirato 38 — Verifica esterna seconda: la risoluzione quattrocentodiciotto. L'interrogazione mirata su repertori delle Nazioni Unite e archivi diplomatici conferma che la risoluzione 418 del Consiglio di Sicurezza fu adottata all'unanimità il quattro novembre millenovecentosettantasette, nella seduta duemilaquarantasei, quale primo embargo obbligatorio sulle armi contro uno Stato membro ai sensi del capitolo settimo, con l'invito a rivedere le licenze esistenti e il divieto di cooperazione nucleare. Il perno cronologico della tavola dell'apartheid — la cesura fra la filiera su licenza anteriore e l'aggiramento posteriore — è confermato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val="0"/>
          <w:sz w:val="24"/>
        </w:rPr>
        <w:t xml:space="preserve">Blocco mirato 39 — Verifica esterna terza: il vertice di Montalto. L'interrogazione mirata su repertori enciclopedici, stampa calabrese e atti richiamati conferma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nucleo: il ventisei ottobre millenovecentosessantanove, in contrada Serro Juncari, l'operazione coordinata dal commissario Sabatino su ordine del questore Santillo sorprese l'assemblea dei capibastone, e il processo che ne nacque portò settantadue imputati davanti al Tribunale di Locri, con sentenza di primo grado dell'ottobre millenovecentosettanta richiamata dagli studi. La partecipazione dell'estrema destra e la genesi della componente santista restano invece contese nella storiografia, con una linea che le attesta sulla scorta di dichiarazioni collaborative recepite in sentenza — ivi compresa la richiesta destefaniana di aprire il vertice a un comparto politico — e una linea che le qualifica costruzione posteriore: la scheda conferita aderisce alla prima e il suo nucleo estensivo si grada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con controversia dichiarata.</w:t>
      </w:r>
    </w:p>
    <w:p>
      <w:pPr>
        <w:spacing w:line="276" w:lineRule="auto" w:before="0" w:after="0"/>
        <w:ind w:firstLine="425"/>
        <w:jc w:val="both"/>
      </w:pPr>
      <w:r>
        <w:rPr>
          <w:rFonts w:ascii="Times New Roman" w:hAnsi="Times New Roman" w:cs="Times New Roman" w:eastAsia="Times New Roman"/>
          <w:b w:val="0"/>
          <w:sz w:val="24"/>
        </w:rPr>
        <w:t>Blocco mirato 40 — Verifica interna: la monografia derivata. L'esemplare portatile della monografia su Aginter Press conferito nel lotto è identico per impronta all'esemplare del terzo lotto, e l'esemplare in formato di scrittura ne è la matrice: la catena Censimento-monografia certificata dalla terza serie resta ferma, e nessuna nuova unità documentale ne discende.</w:t>
      </w:r>
    </w:p>
    <w:p>
      <w:pPr>
        <w:spacing w:line="276" w:lineRule="auto" w:before="320" w:after="160"/>
        <w:ind w:firstLine="0"/>
        <w:jc w:val="center"/>
      </w:pPr>
      <w:r>
        <w:rPr>
          <w:rFonts w:ascii="Times New Roman" w:hAnsi="Times New Roman" w:cs="Times New Roman" w:eastAsia="Times New Roman"/>
          <w:b/>
          <w:sz w:val="24"/>
        </w:rPr>
        <w:t>VI. LE ESPANSIONI DEI CAPITOLI</w:t>
      </w:r>
    </w:p>
    <w:p>
      <w:pPr>
        <w:spacing w:line="276" w:lineRule="auto" w:before="0" w:after="0"/>
        <w:ind w:firstLine="425"/>
        <w:jc w:val="both"/>
      </w:pPr>
      <w:r>
        <w:rPr>
          <w:rFonts w:ascii="Times New Roman" w:hAnsi="Times New Roman" w:cs="Times New Roman" w:eastAsia="Times New Roman"/>
          <w:b w:val="0"/>
          <w:sz w:val="24"/>
        </w:rPr>
        <w:t>Blocco mirato 41 — Espansione della tavola dell'apartheid. Si propone di innestare nella quarta tavola le due verifiche esterne dei blocchi 37 e 38, con le fonti nominate, quale chiusura documentale della filiera aeronautica e del perno dell'embargo: la tavola passerebbe da granulare a certificata sui suoi due snodi maggiori.</w:t>
      </w:r>
    </w:p>
    <w:p>
      <w:pPr>
        <w:spacing w:line="276" w:lineRule="auto" w:before="0" w:after="0"/>
        <w:ind w:firstLine="425"/>
        <w:jc w:val="both"/>
      </w:pPr>
      <w:r>
        <w:rPr>
          <w:rFonts w:ascii="Times New Roman" w:hAnsi="Times New Roman" w:cs="Times New Roman" w:eastAsia="Times New Roman"/>
          <w:b w:val="0"/>
          <w:sz w:val="24"/>
        </w:rPr>
        <w:t xml:space="preserve">Blocco mirato 42 — Espansione della tredicesima tavola. Si propone di iscrivere nella tredicesima tavola la condizione dichiarata dell'Oder-Neisse — la verifica sull'edizione del ventinove-trenta giugno millenovecentosettantadue della testata vaticana — quale nota di fragilità del nesso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sino a riscontro avvenuto: la tavola guadagnerebbe in falsificabilità senza perdere l'acquisizione.</w:t>
      </w:r>
    </w:p>
    <w:p>
      <w:pPr>
        <w:spacing w:line="276" w:lineRule="auto" w:before="0" w:after="0"/>
        <w:ind w:firstLine="425"/>
        <w:jc w:val="both"/>
      </w:pPr>
      <w:r>
        <w:rPr>
          <w:rFonts w:ascii="Times New Roman" w:hAnsi="Times New Roman" w:cs="Times New Roman" w:eastAsia="Times New Roman"/>
          <w:b w:val="0"/>
          <w:sz w:val="24"/>
        </w:rPr>
        <w:t>Blocco mirato 43 — Espansione del capitolo del modello. Si propone il recepimento della dodicesima ricognizione con la terza modalità della costruzione endogena, già consegnata dalla seconda serie, nel capitolo del modello a modalità: l'emendazione è matura, il testo è in atti, e la pendenza certificata al blocco 11 si chiuderebbe con un solo innesto.</w:t>
      </w:r>
    </w:p>
    <w:p>
      <w:pPr>
        <w:spacing w:line="276" w:lineRule="auto" w:before="0" w:after="0"/>
        <w:ind w:firstLine="425"/>
        <w:jc w:val="both"/>
      </w:pPr>
      <w:r>
        <w:rPr>
          <w:rFonts w:ascii="Times New Roman" w:hAnsi="Times New Roman" w:cs="Times New Roman" w:eastAsia="Times New Roman"/>
          <w:b w:val="0"/>
          <w:sz w:val="24"/>
        </w:rPr>
        <w:t>Blocco mirato 44 — Espansione con la tavola unica delle contaminazioni. Si propone la costituzione di un capitolo autonomo delle specie di contaminazione — prossimità, cornice, falso positivo, produzione su commissione — che unifichi la casistica dispersa nelle tavole e recepisca la specie topologica già accolta: il capitolo darebbe sede stabile all'Indice di Contaminazione.</w:t>
      </w:r>
    </w:p>
    <w:p>
      <w:pPr>
        <w:spacing w:line="276" w:lineRule="auto" w:before="0" w:after="0"/>
        <w:ind w:firstLine="425"/>
        <w:jc w:val="both"/>
      </w:pPr>
      <w:r>
        <w:rPr>
          <w:rFonts w:ascii="Times New Roman" w:hAnsi="Times New Roman" w:cs="Times New Roman" w:eastAsia="Times New Roman"/>
          <w:b w:val="0"/>
          <w:sz w:val="24"/>
        </w:rPr>
        <w:t>Blocco mirato 45 — Espansione con la linea speculare. Si propone il recepimento della carta della saturazione — cinquecentodue nodi su diecimilaseicentotrentanove con sessantuno rientri — e della risultanza della ragnatela quale capitolo speculare del caso moroteo, con la distinzione scolpita che la comunicazione periferica è fatto della rete documentale e non regia.</w:t>
      </w:r>
    </w:p>
    <w:p>
      <w:pPr>
        <w:spacing w:line="276" w:lineRule="auto" w:before="0" w:after="0"/>
        <w:ind w:firstLine="425"/>
        <w:jc w:val="both"/>
      </w:pPr>
      <w:r>
        <w:rPr>
          <w:rFonts w:ascii="Times New Roman" w:hAnsi="Times New Roman" w:cs="Times New Roman" w:eastAsia="Times New Roman"/>
          <w:b w:val="0"/>
          <w:sz w:val="24"/>
        </w:rPr>
        <w:t>Blocco mirato 46 — Espansione della Formazione Beta. Si propone il raccordo dell'opera sull'eurasiatista e dello studio sull'Asse Italeurasia ai capitoli russi dell'Edizione Integrata, con triangolazione delle proposizioni maggiori sulle fonti citate: la Formazione Beta guadagnerebbe il suo corpo documentale maggiore.</w:t>
      </w:r>
    </w:p>
    <w:p>
      <w:pPr>
        <w:spacing w:line="276" w:lineRule="auto" w:before="0" w:after="0"/>
        <w:ind w:firstLine="425"/>
        <w:jc w:val="both"/>
      </w:pPr>
      <w:r>
        <w:rPr>
          <w:rFonts w:ascii="Times New Roman" w:hAnsi="Times New Roman" w:cs="Times New Roman" w:eastAsia="Times New Roman"/>
          <w:b w:val="0"/>
          <w:sz w:val="24"/>
        </w:rPr>
        <w:t>Blocco mirato 47 — Espansione d'archivio. Si propone la costituzione del capitolo d'archivio del fondo parlamentare della decima-dodicesima legislatura, previa dotazione degli identificativi prescritta al blocco 27, con censimento seduta per seduta delle audizioni sul caso Cirillo, su Ustica, su Peteano e sulla loggia: il capitolo salderebbe la dotazione deliberativa alla serie istruttoria.</w:t>
      </w:r>
    </w:p>
    <w:p>
      <w:pPr>
        <w:spacing w:line="276" w:lineRule="auto" w:before="0" w:after="0"/>
        <w:ind w:firstLine="425"/>
        <w:jc w:val="both"/>
      </w:pPr>
      <w:r>
        <w:rPr>
          <w:rFonts w:ascii="Times New Roman" w:hAnsi="Times New Roman" w:cs="Times New Roman" w:eastAsia="Times New Roman"/>
          <w:b w:val="0"/>
          <w:sz w:val="24"/>
        </w:rPr>
        <w:t>Blocco mirato 48 — Espansione genealogica. Si propone la resa in prosa della genealogia universale del sacro e delle ventuno catene di successione quale capitolo del filone Storia Nera, con dichiarazione della stesura impiegata per il primo grafo e con la disciplina degli artefatti per il formato d'origine.</w:t>
      </w:r>
    </w:p>
    <w:p>
      <w:pPr>
        <w:spacing w:line="276" w:lineRule="auto" w:before="320" w:after="160"/>
        <w:ind w:firstLine="0"/>
        <w:jc w:val="center"/>
      </w:pPr>
      <w:r>
        <w:rPr>
          <w:rFonts w:ascii="Times New Roman" w:hAnsi="Times New Roman" w:cs="Times New Roman" w:eastAsia="Times New Roman"/>
          <w:b/>
          <w:sz w:val="24"/>
        </w:rPr>
        <w:t>VII. CHIUSURA</w:t>
      </w:r>
    </w:p>
    <w:p>
      <w:pPr>
        <w:spacing w:line="276" w:lineRule="auto" w:before="0" w:after="0"/>
        <w:ind w:firstLine="425"/>
        <w:jc w:val="both"/>
      </w:pPr>
      <w:r>
        <w:rPr>
          <w:rFonts w:ascii="Times New Roman" w:hAnsi="Times New Roman" w:cs="Times New Roman" w:eastAsia="Times New Roman"/>
          <w:b w:val="0"/>
          <w:sz w:val="24"/>
        </w:rPr>
        <w:t>Blocco mirato 49 — Pendenze aggiornate dopo quattro serie. Si chiude il conferimento dell'opera morotea maggiore. Restano aperte: l'undicesima ricognizione identificata dall'impronta e16391f2; il conferimento nativo delle edizioni decima-dodicesima del Registro Analitico, delle edizioni speculari successive alla prima e dell'esemplare nativo dell'opera maggiore; la verifica sull'edizione del giugno millenovecentosettantadue della testata vaticana; la dotazione di identificativi al fondo d'archivio; la qualificazione di statuto dell'opera parallela sulla pace; la scelta di stesura per i due registri in doppia stesura; le sette pendenze di recepimento certificate al blocco 16.</w:t>
      </w:r>
    </w:p>
    <w:p>
      <w:pPr>
        <w:spacing w:line="276" w:lineRule="auto" w:before="0" w:after="0"/>
        <w:ind w:firstLine="425"/>
        <w:jc w:val="both"/>
      </w:pPr>
      <w:r>
        <w:rPr>
          <w:rFonts w:ascii="Times New Roman" w:hAnsi="Times New Roman" w:cs="Times New Roman" w:eastAsia="Times New Roman"/>
          <w:b w:val="0"/>
          <w:sz w:val="24"/>
        </w:rPr>
        <w:t xml:space="preserve">Blocco mirato 50 — Sintesi del dato nuovo acquisito. La quarta serie certifica la linea del Dossier V61-V70 quale linea cumulativa attestata per struttura, con tre recepimenti accolti — la scala integrale, la topologia col Quai de la Tournelle, le rettifiche di Lula — e sette pendenze nominate; chiude con il conferimento dell'opera morotea maggiore la prima misura di copertura della terza serie, identificandola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titolo, struttura e scala e riportandone le divergenze di consistenza quale edizione posteriore alla scheda; censisce il fondo d'archivio di quattrocentottantatré unità e le opere nuove della Formazione Beta; conduce tre verifiche esterne dichiarate che confermano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licenza aeronautica del millenovecentosessantaquattro, la risoluzione 418 e il nucleo del vertice di Montalto, gradando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componente estensiva contesa; e formula otto espansioni dei Capitoli in ordine di rimediabilità, rimettendole alla sede che ne ha il potere.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