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00" w:after="160"/>
        <w:ind w:firstLine="0"/>
        <w:jc w:val="center"/>
      </w:pPr>
      <w:r>
        <w:rPr>
          <w:rFonts w:ascii="Times New Roman" w:hAnsi="Times New Roman" w:cs="Times New Roman" w:eastAsia="Times New Roman"/>
          <w:b/>
          <w:i w:val="0"/>
          <w:sz w:val="40"/>
        </w:rPr>
        <w:t>ITALIA NERA</w:t>
      </w:r>
    </w:p>
    <w:p>
      <w:pPr>
        <w:spacing w:line="276" w:lineRule="auto" w:before="40" w:after="80"/>
        <w:ind w:firstLine="0"/>
        <w:jc w:val="center"/>
      </w:pPr>
      <w:r>
        <w:rPr>
          <w:rFonts w:ascii="Times New Roman" w:hAnsi="Times New Roman" w:cs="Times New Roman" w:eastAsia="Times New Roman"/>
          <w:b w:val="0"/>
          <w:i w:val="0"/>
          <w:sz w:val="24"/>
        </w:rPr>
        <w:t>Registro Analitico delle Reti Informali Transnazionali</w:t>
      </w:r>
    </w:p>
    <w:p>
      <w:pPr>
        <w:spacing w:line="276" w:lineRule="auto" w:before="320" w:after="160"/>
        <w:ind w:firstLine="0"/>
        <w:jc w:val="center"/>
      </w:pPr>
      <w:r>
        <w:rPr>
          <w:rFonts w:ascii="Times New Roman" w:hAnsi="Times New Roman" w:cs="Times New Roman" w:eastAsia="Times New Roman"/>
          <w:b/>
          <w:i w:val="0"/>
          <w:sz w:val="32"/>
        </w:rPr>
        <w:t>REGISTRO DI TRIANGOLAZIONE</w:t>
      </w:r>
    </w:p>
    <w:p>
      <w:pPr>
        <w:spacing w:line="276" w:lineRule="auto" w:before="40" w:after="80"/>
        <w:ind w:firstLine="0"/>
        <w:jc w:val="center"/>
      </w:pPr>
      <w:r>
        <w:rPr>
          <w:rFonts w:ascii="Times New Roman" w:hAnsi="Times New Roman" w:cs="Times New Roman" w:eastAsia="Times New Roman"/>
          <w:b w:val="0"/>
          <w:i w:val="0"/>
          <w:sz w:val="24"/>
        </w:rPr>
        <w:t>Sedici ricognizioni allegate e corpus federato</w:t>
      </w:r>
    </w:p>
    <w:p>
      <w:pPr>
        <w:spacing w:line="276" w:lineRule="auto" w:before="40" w:after="80"/>
        <w:ind w:firstLine="0"/>
        <w:jc w:val="center"/>
      </w:pPr>
      <w:r>
        <w:rPr>
          <w:rFonts w:ascii="Times New Roman" w:hAnsi="Times New Roman" w:cs="Times New Roman" w:eastAsia="Times New Roman"/>
          <w:b w:val="0"/>
          <w:i w:val="0"/>
          <w:sz w:val="24"/>
        </w:rPr>
        <w:t>Pannello sudafricano-namibiano, pannello opusdeista, pannello tedesco-vaticano, pannello turco, pannello aginteriano, calibrazione libica</w:t>
      </w:r>
    </w:p>
    <w:p>
      <w:pPr>
        <w:spacing w:line="276" w:lineRule="auto" w:before="40" w:after="80"/>
        <w:ind w:firstLine="0"/>
        <w:jc w:val="center"/>
      </w:pPr>
      <w:r>
        <w:rPr>
          <w:rFonts w:ascii="Times New Roman" w:hAnsi="Times New Roman" w:cs="Times New Roman" w:eastAsia="Times New Roman"/>
          <w:b w:val="0"/>
          <w:i w:val="0"/>
          <w:sz w:val="24"/>
        </w:rPr>
        <w:t>a cura di</w:t>
      </w:r>
    </w:p>
    <w:p>
      <w:pPr>
        <w:spacing w:line="276" w:lineRule="auto" w:before="40" w:after="80"/>
        <w:ind w:firstLine="0"/>
        <w:jc w:val="center"/>
      </w:pPr>
      <w:r>
        <w:rPr>
          <w:rFonts w:ascii="Times New Roman" w:hAnsi="Times New Roman" w:cs="Times New Roman" w:eastAsia="Times New Roman"/>
          <w:b/>
          <w:i w:val="0"/>
          <w:sz w:val="26"/>
        </w:rPr>
        <w:t>LUIGI DE MICHELE</w:t>
      </w:r>
    </w:p>
    <w:p>
      <w:pPr>
        <w:spacing w:line="276" w:lineRule="auto" w:before="40" w:after="80"/>
        <w:ind w:firstLine="0"/>
        <w:jc w:val="center"/>
      </w:pPr>
      <w:r>
        <w:rPr>
          <w:rFonts w:ascii="Times New Roman" w:hAnsi="Times New Roman" w:cs="Times New Roman" w:eastAsia="Times New Roman"/>
          <w:b w:val="0"/>
          <w:i w:val="0"/>
          <w:sz w:val="24"/>
        </w:rPr>
        <w:t>Roma — ventuno agosto duemilaventisei</w:t>
      </w:r>
    </w:p>
    <w:p>
      <w:pPr>
        <w:spacing w:line="276" w:lineRule="auto" w:before="40" w:after="80"/>
        <w:ind w:firstLine="0"/>
        <w:jc w:val="center"/>
      </w:pPr>
      <w:r>
        <w:rPr>
          <w:rFonts w:ascii="Times New Roman" w:hAnsi="Times New Roman" w:cs="Times New Roman" w:eastAsia="Times New Roman"/>
          <w:b w:val="0"/>
          <w:i/>
          <w:sz w:val="22"/>
        </w:rPr>
        <w:t>documento autonomo, integrabile nei successivi Registri federati</w:t>
      </w:r>
    </w:p>
    <w:p>
      <w:r>
        <w:br w:type="page"/>
      </w:r>
    </w:p>
    <w:p>
      <w:pPr>
        <w:spacing w:line="276" w:lineRule="auto" w:before="280" w:after="160"/>
        <w:ind w:firstLine="0"/>
        <w:jc w:val="both"/>
      </w:pPr>
      <w:r>
        <w:rPr>
          <w:rFonts w:ascii="Times New Roman" w:hAnsi="Times New Roman" w:cs="Times New Roman" w:eastAsia="Times New Roman"/>
          <w:b/>
          <w:i w:val="0"/>
          <w:sz w:val="24"/>
        </w:rPr>
        <w:t>Nota liminare</w:t>
      </w:r>
    </w:p>
    <w:p>
      <w:pPr>
        <w:spacing w:line="276" w:lineRule="auto" w:after="0" w:before="0"/>
        <w:ind w:firstLine="425"/>
        <w:jc w:val="both"/>
      </w:pPr>
      <w:r>
        <w:rPr>
          <w:rFonts w:ascii="Times New Roman" w:hAnsi="Times New Roman" w:cs="Times New Roman" w:eastAsia="Times New Roman"/>
          <w:b w:val="0"/>
          <w:i w:val="0"/>
          <w:sz w:val="24"/>
        </w:rPr>
        <w:t>Il presente Registro di Triangolazione esegue il comando di triangolazione fra il corpus federato del progetto e i diciannove allegati caricati in sessione, dei quali sedici risultano unici dopo la verifica di identità per impronta md5: le coppie duplicate riguardano la ricognizione su Moro, la CSU e Aginter Press, la ricognizione su Moro, la Santa Sede e la Turchia, e la ricognizione su Moro e l'Opus Dei in Germania, ciascuna presente in due copie testualmente identiche, delle quali è stata letta una sola. L'estensione complessiva del materiale allegato è di circa centoquattordicimilacinquecento parole. La lettura è stata integrale e sequenziale; nessuna interrogazione esterna in tempo reale è stata condotta, in conformità con il regime delle campagne federate, e la triangolazione è stata risolta mediante la lettura sistematica degli allegati e l'interrogazione mirata del corpus federato interno al progetto. Restano escluse dal novero delle fonti citabili, per disposizione permanente, l'enciclopedia collaborativa Grokipedia e il quotidiano il Manifesto: dove gli allegati le menzionano, la menzione è registrata come genealogia dell'affermazione e non come prova del suo contenuto.</w:t>
      </w:r>
    </w:p>
    <w:p>
      <w:pPr>
        <w:spacing w:line="276" w:lineRule="auto" w:after="0" w:before="0"/>
        <w:ind w:firstLine="425"/>
        <w:jc w:val="both"/>
      </w:pPr>
      <w:r>
        <w:rPr>
          <w:rFonts w:ascii="Times New Roman" w:hAnsi="Times New Roman" w:cs="Times New Roman" w:eastAsia="Times New Roman"/>
          <w:b w:val="0"/>
          <w:i w:val="0"/>
          <w:sz w:val="24"/>
        </w:rPr>
        <w:t xml:space="preserve">La gerarchia interpretativa del progetto è recepita come ordo expositionis e non come ordo probandi: nessun dato è stato organizzato concentricamente attorno alla macro-ipotesi, e ciascuna asserzione porta il proprio grado secondo il Sistema Savona, con il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per la convergenza di almeno tre fonti indipendenti ed eterogenee, il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per la connessione indiziaria, il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per l'ipotesi falsificabile, e con la dichiarazione esplicita degli </w:t>
      </w:r>
      <w:r>
        <w:rPr>
          <w:rFonts w:ascii="Times New Roman" w:hAnsi="Times New Roman" w:cs="Times New Roman" w:eastAsia="Times New Roman"/>
          <w:b/>
          <w:i w:val="0"/>
          <w:sz w:val="24"/>
        </w:rPr>
        <w:t>Stati Zero</w:t>
      </w:r>
      <w:r>
        <w:rPr>
          <w:rFonts w:ascii="Times New Roman" w:hAnsi="Times New Roman" w:cs="Times New Roman" w:eastAsia="Times New Roman"/>
          <w:b w:val="0"/>
          <w:i w:val="0"/>
          <w:sz w:val="24"/>
        </w:rPr>
        <w:t xml:space="preserve"> secondo la scala graduata delle assenze. La regola di ferro — nessuna asserzione senza fonte, nessun silenzio asserito anziché indagato — governa l'intero documento. Ogni capitolo si chiude con la sintesi del dato nuovo acquisito.</w:t>
      </w:r>
    </w:p>
    <w:p>
      <w:pPr>
        <w:spacing w:line="276" w:lineRule="auto" w:before="280" w:after="160"/>
        <w:ind w:firstLine="0"/>
        <w:jc w:val="both"/>
      </w:pPr>
      <w:r>
        <w:rPr>
          <w:rFonts w:ascii="Times New Roman" w:hAnsi="Times New Roman" w:cs="Times New Roman" w:eastAsia="Times New Roman"/>
          <w:b/>
          <w:i w:val="0"/>
          <w:sz w:val="24"/>
        </w:rPr>
        <w:t>Capitolo primo — Il pannello sudafricano-namibiano: canale giudiziario, canale industriale, canale onusiano, canale vaticano e il nodo bipolare</w:t>
      </w:r>
    </w:p>
    <w:p>
      <w:pPr>
        <w:spacing w:line="276" w:lineRule="auto" w:after="0" w:before="0"/>
        <w:ind w:firstLine="425"/>
        <w:jc w:val="both"/>
      </w:pPr>
      <w:r>
        <w:rPr>
          <w:rFonts w:ascii="Times New Roman" w:hAnsi="Times New Roman" w:cs="Times New Roman" w:eastAsia="Times New Roman"/>
          <w:b w:val="0"/>
          <w:i w:val="0"/>
          <w:sz w:val="24"/>
        </w:rPr>
        <w:t xml:space="preserve">Il primo blocco di sei allegati ricostruisce la condotta italiana e tedesco-federale verso il Sudafrica dell'apartheid e la Namibia fra il millenovecentosessantatre e il millenovecentonovantaquattro, e trova nel corpus federato un terreno di riscontro già dissodato dalla serie sudafricana dei dossier precedenti. Sul canale giudiziario l'allegato accerta che nessun procedimento penale italiano fu mai aperto sulle forniture militari a Pretoria, per il concorso di due cause strutturali: l'assenza di una fattispecie incriminatrice specifica prima della legge centottantacinque del millenovecentonovanta e il regime del segreto discendente dal regio decreto millecentosessantuno del millenovecentoquarantuno; gli unici accessi documentati furono quattro rogatorie ad hoc, riferibili al giudice Casson nel millenovecentottantasei e nel millenovecentonovantuno, alla Commissione Stragi nel millenovecentonovantacinque e alla procura di Palermo nel duemilaquattordici. La comparazione internazionale interna all'allegato — il comitato parlamentare tedesco sui sommergibili operante dal millenovecentottantasei al millenovecentonovanta con archiviazione della Oberfinanzdirektion di Kiel, e l'incriminazione statunitense della Armscor nel millenovecentonovantuno chiusa con patteggiamento nel millenovecentonovantasette — permette di graduare la peculiarità italiana come assenza di strumento normativo più che come anomalia di volontà, e questa distinzione fra impossibilità istituzionale e semplice mancato reperimento è conforme al canone della scala degli Stati Zero. Grado dell'accertamento negativo sul canale giudiziario italiano: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in quanto esito negativo certificato su ricognizione esaustiva delle sedi ordinarie.</w:t>
      </w:r>
    </w:p>
    <w:p>
      <w:pPr>
        <w:spacing w:line="276" w:lineRule="auto" w:after="0" w:before="0"/>
        <w:ind w:firstLine="425"/>
        <w:jc w:val="both"/>
      </w:pPr>
      <w:r>
        <w:rPr>
          <w:rFonts w:ascii="Times New Roman" w:hAnsi="Times New Roman" w:cs="Times New Roman" w:eastAsia="Times New Roman"/>
          <w:b w:val="0"/>
          <w:i w:val="0"/>
          <w:sz w:val="24"/>
        </w:rPr>
        <w:t xml:space="preserve">Sul canale industriale la triangolazione con il corpus è stretta e produce una convergenza con divergenze numeriche interne che vanno dichiarate anziché composte silenziosamente. Il dossier federato sull'Italia e il Sudafrica colloca la licenza Aermacchi MB-326 al millenovecentosessantaquattro, l'avvio della produzione Atlas al millenovecentosessantasei, quaranta velivoli importati direttamente dall'Italia, circa centoventicinque Impala Mk I costruiti localmente e circa settantotto Impala Mk II d'attacco dal millenovecentosettantaquattro, con l'indice del volume SIPRI di Signe Landgren che dedica sezioni specifiche al programma Impala e ai ricambi Atlas e che colloca l'Italia fra le sei principali fonti di tecnologia militare di Pretoria. L'allegato aggiunge tre elementi che il corpus non possedeva: il documento CIA C06283667, intitolato alla elusione dell'embargo, che attesta con la formula della produzione su licenza italiana l'anello autorizzativo nazionale; la genealogia del motore Viper, sub-licenza Piaggio dalla Bristol Siddeley del millenovecentocinquantanove, che duplica il vincolo autorizzativo su un secondo asse; e la constatazione che per la cessione di licenze anteriormente al millenovecentonovanta non esisteva alcun atto tipico dell'ordinamento italiano, sicché la ricerca dell'autorizzazione formale è destinata a un vuoto documentale che non è occultamento ma configurazione normativa dell'epoca. Le oscillazioni quantitative fra le fonti — quaranta ovvero sedici consegne dirette, circa centoventicinque ovvero centotrentacinque Mk I, trecentotrentaquattro motori Viper su un totale di cinquemilasettecentoventisette prodotti — restano registrate come divergenze aperte con sede di scioglimento negli archivi industriali dell'IRI presso l'Archivio Centrale dello Stato e nella documentazione Leonardo. Grado della continuità produttiva su licenza oltre l'embargo obbligatorio della risoluzione quattrocentodiciotto del quattro novembre millenovecentosettantasette: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after="0" w:before="0"/>
        <w:ind w:firstLine="425"/>
        <w:jc w:val="both"/>
      </w:pPr>
      <w:r>
        <w:rPr>
          <w:rFonts w:ascii="Times New Roman" w:hAnsi="Times New Roman" w:cs="Times New Roman" w:eastAsia="Times New Roman"/>
          <w:b w:val="0"/>
          <w:i w:val="0"/>
          <w:sz w:val="24"/>
        </w:rPr>
        <w:t xml:space="preserve">Sul canale onusiano l'allegato consolida una regolarità che il corpus registrava in forma frammentaria e che ora può essere formalizzata: la condotta italiana si sdoppia sistematicamente in resistenza procedurale e adesione sostanziale. L'Italia votò contro la risoluzione tremiladuecentosei ma a favore della tremiladuecentosette nel millenovecentosettantaquattro; si astenne sulla trentunesima centoquarantasei del millenovecentosettantasei dove la Repubblica Federale votò contro; votò a favore sulla trentunesima centoquarantotto e centoquarantanove e sulla trentaduesima nove G dove la Repubblica Federale si astenne; e produsse con il documento S/9640 del sei febbraio millenovecentosettanta, a firma Vinci, una confutazione formale dell'accusa zambiana che ha il proprio gemello tedesco nel documento S/9648 — parallelismo procedurale italo-tedesco che l'allegato documenta e che costituisce un arco di convergenza fra i due Stati membri della Comunità sul terreno della difesa reputazionale. Il corpo testuale del verbale S/AC.20/SR.25 del millenovecentottanta, recante l'accusa Minty, e della replica italiana S/AC.20/27 del ventisette giugno millenovecentottanta, a firma La Rocca, non è stato recuperato per la distribuzione ristretta della serie, e la sede di scioglimento dichiarata resta la Dag Hammarskjöld Library. La regolarità procedurale-sostanziale è promossa a pattern di condotta con grado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suscettibile di elevazione al completamento dello spoglio dei verbali.</w:t>
      </w:r>
    </w:p>
    <w:p>
      <w:pPr>
        <w:spacing w:line="276" w:lineRule="auto" w:after="0" w:before="0"/>
        <w:ind w:firstLine="425"/>
        <w:jc w:val="both"/>
      </w:pPr>
      <w:r>
        <w:rPr>
          <w:rFonts w:ascii="Times New Roman" w:hAnsi="Times New Roman" w:cs="Times New Roman" w:eastAsia="Times New Roman"/>
          <w:b w:val="0"/>
          <w:i w:val="0"/>
          <w:sz w:val="24"/>
        </w:rPr>
        <w:t xml:space="preserve">Sul canale vaticano-democristiano l'allegato stabilisce che la Santa Sede non ebbe mai relazioni diplomatiche piene con il Sudafrica durante l'apartheid — la sola delegazione apostolica risaliva al millenovecentoventidue e le relazioni piene datano al quindici giugno millenovecentonovantaquattro — e che la linea dottrinale fu di condanna, dalla qualificazione dell'apartheid come intrinsecamente malvagio pronunciata dalla conferenza episcopale sudafricana nel millenovecentocinquantasette per impulso dell'arcivescovo Hurley, all'udienza di Paolo Sesto del primo luglio millenovecentosettanta ai leader dei movimenti di liberazione Neto, dos Santos e Cabral, fino al viaggio di Giovanni Paolo Secondo del millenovecentottantotto pianificato escludendo il Sudafrica e toccatolo solo per un atterraggio di emergenza a Johannesburg il quattordici settembre. La ricezione del comitato speciale delle Nazioni Unite il ventidue maggio millenovecentosettantaquattro cade nel secondo mandato di Moro agli Esteri, ma nessuna fonte collega il ministro all'evento, e lo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su Moro e il Sudafrica — un'assenza coerente con la collocazione mediterranea e arabocentrica delle sue priorità, riqualificata dall'allegato da deposito inesplorato ad assenza coerente — è confermato. Sul versante democristiano come partito nessuna posizione ufficiale è stata reperita e la sede di scioglimento resta l'Istituto Sturzo. L'udienza pontificia del millenovecentosettanta acquista nella triangolazione un valore ulteriore: essa è simultanea alla protezione che la polizia politica portoghese accordava ad Aginter Press a Lisbona, sicché il vertice della Chiesa riceveva i capi dei movimenti che la centrale lisbonese combatteva — una divaricazione interna al campo cattolico che il capitolo settimo riprende.</w:t>
      </w:r>
    </w:p>
    <w:p>
      <w:pPr>
        <w:spacing w:line="276" w:lineRule="auto" w:after="0" w:before="0"/>
        <w:ind w:firstLine="425"/>
        <w:jc w:val="both"/>
      </w:pPr>
      <w:r>
        <w:rPr>
          <w:rFonts w:ascii="Times New Roman" w:hAnsi="Times New Roman" w:cs="Times New Roman" w:eastAsia="Times New Roman"/>
          <w:b w:val="0"/>
          <w:i w:val="0"/>
          <w:sz w:val="24"/>
        </w:rPr>
        <w:t xml:space="preserve">Sul versante tedesco-namibiano l'allegato conferma e irrobustisce la confutazione già federata della spiegazione colonialista dell'inclusione della Repubblica Federale nel Western Contact Group dell'aprile millenovecentosettantasette: il criterio di composizione fu puramente istituzionale, il seggio occidentale nel Consiglio di Sicurezza nel millenovecentosettantasette, come attestano lo studio di Karns del millenovecentottantasette e la testimonianza di Genscher alla Humboldt del tredici aprile duemiladieci; l'Italia era strutturalmente ineleggibile per la scadenza del proprio mandato al trentuno dicembre millenovecentosettantasei, con il parallelo cipriota già acquisito; e la comunità germanofona di Namibia operò semmai come ingombro, non come titolo, tanto che il consolato di Windhoek fu chiuso nell'ottobre millenovecentosettantasette. Il paragone conclusivo fra i due Paesi — la Repubblica Federale dentro il Gruppo ma freno sulle sanzioni, fino al blocco del carbone in sede comunitaria del sedici settembre millenovecentottantasei; l'Italia fuori dal Gruppo ma allineata — è formalizzato come differenza di grado e non di natura, con classificazione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per i fatti costitutivi e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per la formula comparativa. Sui sommergibili tipo duecentonove la sequenza documentata — riunione Genscher-Kohl-Strauß del primo giugno millenovecentottantatre, visita di Botha a Kohl del cinque giugno millenovecentottantaquattro, contratto dieci giorni dopo, inchiesta del Bundestag inconcludente e archiviazione di Kiel — resta al grado assegnato dall'allegato, con le provvigioni attribuite a Strauß degradate a voci; e la smentita accademica dell'asse nucleare per testate tedesche, fondata sul volume di Möser presso la Cambridge University Press del duemilaventiquattro contro i dossier militanti dell'ANC del millenovecentosettantacinque e del millenovecentosettantasette, è recepita come confutazione registrata.</w:t>
      </w:r>
    </w:p>
    <w:p>
      <w:pPr>
        <w:spacing w:line="276" w:lineRule="auto" w:after="0" w:before="0"/>
        <w:ind w:firstLine="425"/>
        <w:jc w:val="both"/>
      </w:pPr>
      <w:r>
        <w:rPr>
          <w:rFonts w:ascii="Times New Roman" w:hAnsi="Times New Roman" w:cs="Times New Roman" w:eastAsia="Times New Roman"/>
          <w:b w:val="0"/>
          <w:i w:val="0"/>
          <w:sz w:val="24"/>
        </w:rPr>
        <w:t xml:space="preserve">Il sesto allegato del pannello opera sul piano della verifica delle ipotesi e produce la confutazione più rilevante del blocco: l'ipotesi della inversione di polarità del nodo sudafricano fra la formazione della Guerra Fredda e la formazione contemporanea è sostituita dalla tesi della continuità di allineamento del soggetto politico. Il medesimo soggetto — l'alleanza ANC-SACP, armata dall'Unione Sovietica dal millenovecentosessantatre dopo la fondazione dell'ala militare il sedici dicembre millenovecentosessantuno — che nella formazione Alfa combatteva sul fronte sovietico-cubano da Carlota millenovecentosettantacinque a Cuito Cuanavale millenovecentottantasette-ottantotto, governa dal millenovecentonovantaquattro e riproduce nella formazione Beta l'allineamento originario: l'ingresso nei BRICS nel biennio duemiladieci-undici, l'esercitazione Mosi Secondo del duemilaventitre, le astensioni onusiane sull'Ucraina, il dilemma sul mandato della Corte penale internazionale nel duemilaventitre. I contrappesi documentati — l'annullamento dell'accordo Rosatom da parte dell'Alta Corte del Capo Occidentale il ventisei aprile duemiladiciassette, la non prova dell'allegazione Lady R secondo il panel Mojapelo del duemilaventitre, la rottura dell'alleanza da parte del SACP nel dicembre duemilaventiquattro — impediscono ogni lettura monolitica e sono iscritti al grado delle rispettive fonti. La dimensione italiana della formazione Beta — Leonardo con gli elicotteri AW109 alla forza aerea sudafricana, l'incidente di Wonderboom del duemilaventi, il memorandum con Denel del duemiladodici che menziona più di duecentocinquanta Impala, gli accordi bilaterali del millenovecentonovantasette e millenovecentonovantotto — colloca l'Italia sul fronte atlantico opposto in entrambe le formazioni. La conseguenza per la macro-ipotesi è dichiarata con esattezza: la tesi dei fronti opposti fra Stati Uniti e Russia risulta confermata in entrambe le formazioni sul teatro sudafricano, il che non costituisce evidenza a favore della convergenza ipotizzata da H1 né la falsifica, e lo standing della macro-ipotesi resta invariato al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con Alan Milward falsificatore permanente designato.</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Il pannello sudafricano-namibiano consegna al registro cinque acquisizioni: l'esito negativo certificato sul canale giudiziario italiano con la sua spiegazione normativa; l'anello autorizzativo italiano del programma Impala attestato da fonte CIA con la duplicazione del vincolo sul motore Viper; la formalizzazione della regolarità procedurale-sostanziale del voto onusiano italiano con il parallelismo documentale italo-tedesco dei documenti S/9640 e S/9648; la conferma della confutazione istituzionale del Western Contact Group con la formula della differenza di grado e non di natura; e la sostituzione dell'ipotesi di inversione di polarità con la continuità di allineamento del soggetto, che lascia lo standing di H1 invariato al livello ipotetico.</w:t>
      </w:r>
    </w:p>
    <w:p>
      <w:pPr>
        <w:spacing w:line="276" w:lineRule="auto" w:before="280" w:after="160"/>
        <w:ind w:firstLine="0"/>
        <w:jc w:val="both"/>
      </w:pPr>
      <w:r>
        <w:rPr>
          <w:rFonts w:ascii="Times New Roman" w:hAnsi="Times New Roman" w:cs="Times New Roman" w:eastAsia="Times New Roman"/>
          <w:b/>
          <w:i w:val="0"/>
          <w:sz w:val="24"/>
        </w:rPr>
        <w:t>Capitolo secondo — Il pannello opusdeista: la falsificazione del modello bipartito, la forma tripartita emendata e il quadro rovesciato portoghese</w:t>
      </w:r>
    </w:p>
    <w:p>
      <w:pPr>
        <w:spacing w:line="276" w:lineRule="auto" w:after="0" w:before="0"/>
        <w:ind w:firstLine="425"/>
        <w:jc w:val="both"/>
      </w:pPr>
      <w:r>
        <w:rPr>
          <w:rFonts w:ascii="Times New Roman" w:hAnsi="Times New Roman" w:cs="Times New Roman" w:eastAsia="Times New Roman"/>
          <w:b w:val="0"/>
          <w:i w:val="0"/>
          <w:sz w:val="24"/>
        </w:rPr>
        <w:t>Il secondo blocco di tre allegati sottopone a stress sistematico il modello esplicativo bipartito dell'insediamento dell'Opus Dei — la congiunzione di una maggioranza cattolica nazionale e di un ceto cattolico organizzato come condizioni dell'attecchimento — e ne restituisce una forma emendata che il corpus federato non possedeva. Il test tedesco falsifica la prima condizione: l'insediamento del millenovecentocinquantadue a Bonn e Colonia avvenne in un Paese a maggioranza protestante — cinquanta virgola sei per cento di protestanti contro quarantacinque virgola otto di cattolici nel millenovecentocinquanta — ma dentro la Renania cattolica e su petizione del cardinale Frings trasmessa per lettera dal nunzio, secondo un modulo che replica il precedente portoghese dell'istanza del patriarca Cerejeira; la seconda condizione, il ceto cattolico organizzato del katholisches Milieu — dalla tradizione del Zentrum alla CDU-CSU, dal Kolpingwerk alla Görres-Gesellschaft al Cartellverband — risulta pienamente confermata. Il caso tedesco falsifica dunque la sola prima condizione e non la proposizione congiunta, e la Baviera raggiunta soltanto nel millenovecentosettantasette-ottanta priva di base fattuale ogni associazione precoce fra l'ente e l'ambiente bavarese di Strauß, con rilievo diretto per il capitolo quinto.</w:t>
      </w:r>
    </w:p>
    <w:p>
      <w:pPr>
        <w:spacing w:line="276" w:lineRule="auto" w:after="0" w:before="0"/>
        <w:ind w:firstLine="425"/>
        <w:jc w:val="both"/>
      </w:pPr>
      <w:r>
        <w:rPr>
          <w:rFonts w:ascii="Times New Roman" w:hAnsi="Times New Roman" w:cs="Times New Roman" w:eastAsia="Times New Roman"/>
          <w:b w:val="0"/>
          <w:i w:val="0"/>
          <w:sz w:val="24"/>
        </w:rPr>
        <w:t xml:space="preserve">Il test extraeuropeo su sette casi produce l'emendazione decisiva. Il caso keniano del millenovecentocinquantotto soddisfa la condizione di falsificazione piena: un Paese privo di ceto cattolico autoctono nel quale l'ente non si limitò al trapianto ma costruì endogenamente il ceto — numerarie keniane dal millenovecentosessantatre, la figura di Mimbi dal millenovecentottantadue, il vescovo Muheria dal duemilaquattro, la traiettoria istituzionale dello Strathmore dal millenovecentosessantuno all'elevazione universitaria del duemiladue — mentre il nominativo circolante di Cyril Olguin non trova riscontro. Ne discende una terza modalità, la costruzione endogena del ceto, che si affianca all'insediamento entro ceto preesistente — confermato dai casi indiano del millenovecentonovantatre su base goanese e siro-malabarese — e al trapianto puro, confermato dal caso kazako del millenovecentonovantasette; il caso giapponese del millenovecentocinquantotto, radicato nella comunità popolare di Urakami a Nagasaki e non in una élite, e il caso nigeriano del millenovecentosessantacinque completano il quadro, mentre lo Sri Lanka del duemilaundici resta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La forma emendata tripartita del modello, con il diagnostico della provenienza dei numerari in fase matura, costituisce la seconda emendazione formale del modello nella storia del progetto ed entra nel registro con grado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come generalizzazione fondata su casistica documentata. Essa non collide con la trattazione federata dell'ente — che il corpus classifica come isomorfismo strutturale col modello della loggia coperta, un vertice centrale che irradia verso più domini — ma la integra sul piano genetico: l'isomorfismo descrive la morfologia matura, il modello tripartito descrive le vie dell'attecchimento.</w:t>
      </w:r>
    </w:p>
    <w:p>
      <w:pPr>
        <w:spacing w:line="276" w:lineRule="auto" w:after="0" w:before="0"/>
        <w:ind w:firstLine="425"/>
        <w:jc w:val="both"/>
      </w:pPr>
      <w:r>
        <w:rPr>
          <w:rFonts w:ascii="Times New Roman" w:hAnsi="Times New Roman" w:cs="Times New Roman" w:eastAsia="Times New Roman"/>
          <w:b w:val="0"/>
          <w:i w:val="0"/>
          <w:sz w:val="24"/>
        </w:rPr>
        <w:t xml:space="preserve">Il test portoghese rovescia il quadro iberico atteso e produce la triangolazione più feconda dell'intero pannello. L'insediamento del cinque febbraio millenovecentoquarantacinque su istanza collegata a suor Lúcia, con le precisazioni della Lusitania Sacra sul primo portoghese Serrano già nel millenovecentoquarantadue-quarantatre e sulla visita di Múzquiz del marzo millenovecentoquarantuno, non generò collaborazione col regime bensì sorveglianza: i fondi della polizia politica alla Torre do Tombo restituiscono, negli studi di Vilela e Brandão, il rapporto del settembre millenovecentosessantatre, la nota del millenovecentosessantuno sulle attività dell'ente in Portogallo, il relatório generale del millenovecentosessantaquattro, la qualificazione di Ortega Pardo come uomo di collegamento e le annotazioni sui nomi di Caetano e Moreira che resistettero — materiale che prova il sospetto dell'apparato, non una condotta dell'ente, e che l'allegato tiene rigorosamente distinto dalle tesi cospirative non sostenute. La spiegazione del divario iberico proposta da Salis Amaral — secolarizzazione, diverso rapporto Chiesa-Stato, reticenza di Cerejeira verso i movimenti stranieri — è recepita come interpretazione qualificata. Il punto di triangolazione è strutturale: la medesima polizia politica che sorvegliava con sospetto l'Opus Dei proteggeva simultaneamente Aginter Press, sicché il regime salazarista trattò due reti cattoliche transnazionali con polarità opposte, sospettando quella legale e coprendo quella clandestina; il capitolo settimo formalizza questo chiasmo. Sul versante moroteo lo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su Moro e l'Opus Dei è confermato per estraneità culturale — la matrice fucina e dossettiana del ministro — e la ricognizione dell'intelligence statunitense dà esito negativo integrale: nessun documento CIA o FRUS sull'ente in Portogallo, con l'unico tracciamento riferito al contesto spagnolo e allo scandalo MATESA. L'unica triangolazione con sostegno resta la comunanza di interlocutore nella mediazione della Santa Sede, comunanza d'interlocutore e non convergenza d'obiettivo.</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Il pannello opusdeista consegna la seconda emendazione formale del modello di insediamento — dalla forma bipartita alla forma tripartita con la terza modalità della costruzione endogena del ceto, generata dal caso keniano — insieme alla falsificazione isolata della prima condizione sul caso tedesco, alla conferma della seconda, e al quadro rovesciato portoghese nel quale la polizia politica salazarista sorvegliava l'ente che la vulgata immagina protetto, mentre proteggeva la centrale aginteriana: un chiasmo documentale che diventa asse portante delle triangolazioni incrociate.</w:t>
      </w:r>
    </w:p>
    <w:p>
      <w:pPr>
        <w:spacing w:line="276" w:lineRule="auto" w:before="280" w:after="160"/>
        <w:ind w:firstLine="0"/>
        <w:jc w:val="both"/>
      </w:pPr>
      <w:r>
        <w:rPr>
          <w:rFonts w:ascii="Times New Roman" w:hAnsi="Times New Roman" w:cs="Times New Roman" w:eastAsia="Times New Roman"/>
          <w:b/>
          <w:i w:val="0"/>
          <w:sz w:val="24"/>
        </w:rPr>
        <w:t>Capitolo terzo — Moro, la Santa Sede e le due Germanie: la sequenza Oder-Neisse e la verifica di secondo grado della tesi Hummel</w:t>
      </w:r>
    </w:p>
    <w:p>
      <w:pPr>
        <w:spacing w:line="276" w:lineRule="auto" w:after="0" w:before="0"/>
        <w:ind w:firstLine="425"/>
        <w:jc w:val="both"/>
      </w:pPr>
      <w:r>
        <w:rPr>
          <w:rFonts w:ascii="Times New Roman" w:hAnsi="Times New Roman" w:cs="Times New Roman" w:eastAsia="Times New Roman"/>
          <w:b w:val="0"/>
          <w:i w:val="0"/>
          <w:sz w:val="24"/>
        </w:rPr>
        <w:t>Il terzo pannello, composto da due allegati in rapporto dialettico, offre al registro un esempio compiuto di autocorrezione documentale interna al materiale caricato, che merita di essere formalizzato come procedura. Il primo allegato accerta la sequenza Oder-Neisse nella sua cronologia piena: il trattato di Varsavia firmato il sette dicembre millenovecentosettanta con la genuflessione di Brandt; la ratifica del Bundestag il diciassette maggio millenovecentosettantadue, dopo il fallimento della sfiducia costruttiva a Barzel del ventiquattro aprile; l'entrata in vigore il tre giugno millenovecentosettantadue; e le costituzioni apostoliche di Paolo Sesto del ventotto giugno millenovecentosettantadue — Episcoporum Poloniae coetus e Vratislaviensis-Berolinensis — che riordinarono le diocesi sui territori occidentali polacchi venticinque giorni dopo l'entrata in vigore. Il retroterra è ricostruito con ampiezza: le cinque amministrazioni apostoliche istituite dal primate Hlond il quindici agosto millenovecentoquarantacinque nel segno della provvisorietà; lo scambio epistolare fra gli episcopati del novembre-dicembre millenovecentosessantacinque con la formula del perdono reciproco di Kominek e la riserva tedesca sui confini; il memorandum orientale della chiesa evangelica del millenovecentosessantacinque e il circolo di Bensberg del tre marzo millenovecentosessantotto; i colloqui di Casaroli a Varsavia nel millenovecentosettantuno con il ritiro del riconoscimento all'ambasciatore Papée; e, sul versante orientale, la nomina degli amministratori apostolici per la Repubblica Democratica il ventitre luglio millenovecentosettantatre — amministratori e non diocesi, a questione tedesca aperta — con il progetto ulteriore fermato dalla morte di Paolo Sesto e le diocesi erette soltanto il ventisette giugno millenovecentonovantaquattro.</w:t>
      </w:r>
    </w:p>
    <w:p>
      <w:pPr>
        <w:spacing w:line="276" w:lineRule="auto" w:after="0" w:before="0"/>
        <w:ind w:firstLine="425"/>
        <w:jc w:val="both"/>
      </w:pPr>
      <w:r>
        <w:rPr>
          <w:rFonts w:ascii="Times New Roman" w:hAnsi="Times New Roman" w:cs="Times New Roman" w:eastAsia="Times New Roman"/>
          <w:b w:val="0"/>
          <w:i w:val="0"/>
          <w:sz w:val="24"/>
        </w:rPr>
        <w:t xml:space="preserve">Il primo allegato presentava il nesso fra il trattato e le costituzioni come attestato dalla tesi di Hummel: la consuetudine vaticana del nulla prima di un trattato di pace, e una comunicazione vaticana che si sarebbe riferita espressamente al trattato. Il secondo allegato sottopone questa tesi a verifica di secondo grado — la verifica della fonte della fonte — e la retrocede: la comunicazione vaticana che nominerebbe espressamente il trattato non è reperita in alcuna sede; la frase-chiave di Hummel è priva di apparato, senza nota e senza segnatura, e configura un'inferenza storiografica presentata come citazione; il medesimo Hummel, poche righe dopo, riferisce che la dichiarazione motivava con necessità pastorali; il testo canonico delle costituzioni, negli Acta Apostolicae Sedis, reca soltanto motivazioni pastorali e non nomina il trattato, la linea Oder-Neisse né la Repubblica Federale; il portavoce Alessandrini alla vigilia dichiarava di non sapere nulla; la conferenza episcopale tedesca non fu consultata, sicché la lettura politica è una interpretazione tedesca; e la cronaca coeva del New York Times motivava con i bisogni pastorali. La conclusione emendata è che la tesi del richiamo testuale resta </w:t>
      </w:r>
      <w:r>
        <w:rPr>
          <w:rFonts w:ascii="Times New Roman" w:hAnsi="Times New Roman" w:cs="Times New Roman" w:eastAsia="Times New Roman"/>
          <w:b/>
          <w:i w:val="0"/>
          <w:sz w:val="24"/>
        </w:rPr>
        <w:t>non sostenuta</w:t>
      </w:r>
      <w:r>
        <w:rPr>
          <w:rFonts w:ascii="Times New Roman" w:hAnsi="Times New Roman" w:cs="Times New Roman" w:eastAsia="Times New Roman"/>
          <w:b w:val="0"/>
          <w:i w:val="0"/>
          <w:sz w:val="24"/>
        </w:rPr>
        <w:t xml:space="preserve"> fino alla verifica autoptica de L'Osservatore Romano del ventinove-trenta giugno millenovecentosettantadue, ad accesso riservato, mentre restano acquisite la contemporaneità documentata dei venticinque giorni e la causazione storica come inferenza legittima ma dichiarata come tale. La distinzione fra inesistenza e irreperibilità è mantenuta. Il registro formalizza il valore metodologico dell'episodio: un allegato ha retrocesso un altro allegato della medesima sessione, e questa confutazione interna al materiale caricato — isomorfa, come si vedrà, alle verifiche in negativo del pannello aginteriano — dimostra che il dispositivo di verifica opera anche contro le acquisizioni proprie, in ottemperanza al divieto del pollo di Popper.</w:t>
      </w:r>
    </w:p>
    <w:p>
      <w:pPr>
        <w:spacing w:line="276" w:lineRule="auto" w:after="0" w:before="0"/>
        <w:ind w:firstLine="425"/>
        <w:jc w:val="both"/>
      </w:pPr>
      <w:r>
        <w:rPr>
          <w:rFonts w:ascii="Times New Roman" w:hAnsi="Times New Roman" w:cs="Times New Roman" w:eastAsia="Times New Roman"/>
          <w:b w:val="0"/>
          <w:i w:val="0"/>
          <w:sz w:val="24"/>
        </w:rPr>
        <w:t xml:space="preserve">Il pannello aggiunge tre elementi di contesto moroteo. Primo, la cronologia dei cinque atti dell'Ostpolitik — Mosca dodici agosto millenovecentosettanta, Varsavia sette dicembre millenovecentosettanta, accordo quadripartito su Berlino tre settembre millenovecentosettantuno, trattato fondamentale ventuno dicembre millenovecentosettantadue, ammissione delle due Germanie alle Nazioni Unite diciotto settembre millenovecentosettantatre — intersecata con i due mandati di Moro agli Esteri, con il riconoscimento italiano della Repubblica Democratica del diciassette gennaio millenovecentosettantatre caduto nell'intervallo fra i mandati sotto il ministro Medici, e con l'attestazione storiografica che le origini dei rapporti fra Italia e Repubblica Democratica risalgono all'azione di Moro; l'incontro documentato Moro-Brandt a Roma del trentuno agosto-primo settembre millenovecentosessantanove e la visita a Bonn del millenovecentosettantuno con Scheel e Genscher completano il quadro. Secondo, il vertice dell'Aja del dicembre millenovecentosessantanove, con la pressione di Moro per l'ingresso britannico contro l'asse franco-tedesco fino alla minaccia di non partecipare, e con il giudizio di Levi sul ruolo piuttosto marginale dell'Italia per le incertezze del ministro — giudizio interpretativo iscritto come tale. Terzo, sul crinale del terrorismo, la vicenda Stoll: il militante della RAF ucciso il sei settembre millenovecentosettantotto a Düsseldorf, che Peci indicò come contatto di Moretti; l'allegato la classifica correttamente come dichiarazione di collaboratore non riscontrata da sentenza, e le tesi di eterodirezione del sequestro Moro che vi si appoggiano restano </w:t>
      </w:r>
      <w:r>
        <w:rPr>
          <w:rFonts w:ascii="Times New Roman" w:hAnsi="Times New Roman" w:cs="Times New Roman" w:eastAsia="Times New Roman"/>
          <w:b/>
          <w:i w:val="0"/>
          <w:sz w:val="24"/>
        </w:rPr>
        <w:t>non sostenute</w:t>
      </w:r>
      <w:r>
        <w:rPr>
          <w:rFonts w:ascii="Times New Roman" w:hAnsi="Times New Roman" w:cs="Times New Roman" w:eastAsia="Times New Roman"/>
          <w:b w:val="0"/>
          <w:i w:val="0"/>
          <w:sz w:val="24"/>
        </w:rPr>
        <w:t xml:space="preserve"> — un esito che il capitolo settimo mette in serie con la pista bulgara come parallelo strutturale delle piste rilanciate dalla pubblicistica senza accertamento giudiziario. Sul piano delle convergenze positive, la firma dell'Atto finale di Helsinki del primo agosto millenovecentosettantacinque — Moro in duplice qualità, la Santa Sede firmataria per la prima volta a un congresso paneuropeo dopo Vienna milleottocentoquindici, la Germania Federale con la clausola della modificabilità pacifica in luogo di ogni lettera allegata, che l'allegato accerta inesistente — resta la triangolazione certa del pannello, convergenza di obiettivo e non coordinamento, al grado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per i fatti di firma.</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Il pannello tedesco-vaticano consegna la sequenza Oder-Neisse pienamente accertata nella sua cronologia, la retrocessione della tesi Hummel sul richiamo testuale del trattato nella comunicazione vaticana — con la contemporaneità dei venticinque giorni preservata come fatto e la causazione preservata come inferenza dichiarata — e la formalizzazione della verifica di secondo grado della fonte come procedura del progetto, esemplificata da una confutazione interna al materiale della medesima sessione; a margine, la classificazione della pista Stoll-Peci come dichiarazione non riscontrata istituisce il primo termine del parallelo strutturale delle piste non provate.</w:t>
      </w:r>
    </w:p>
    <w:p>
      <w:pPr>
        <w:spacing w:line="276" w:lineRule="auto" w:before="280" w:after="160"/>
        <w:ind w:firstLine="0"/>
        <w:jc w:val="both"/>
      </w:pPr>
      <w:r>
        <w:rPr>
          <w:rFonts w:ascii="Times New Roman" w:hAnsi="Times New Roman" w:cs="Times New Roman" w:eastAsia="Times New Roman"/>
          <w:b/>
          <w:i w:val="0"/>
          <w:sz w:val="24"/>
        </w:rPr>
        <w:t>Capitolo quarto — Il pannello turco: la traiettoria di Ağca, la pista bulgara e l'armonizzazione dei gradi col corpus federato</w:t>
      </w:r>
    </w:p>
    <w:p>
      <w:pPr>
        <w:spacing w:line="276" w:lineRule="auto" w:after="0" w:before="0"/>
        <w:ind w:firstLine="425"/>
        <w:jc w:val="both"/>
      </w:pPr>
      <w:r>
        <w:rPr>
          <w:rFonts w:ascii="Times New Roman" w:hAnsi="Times New Roman" w:cs="Times New Roman" w:eastAsia="Times New Roman"/>
          <w:b w:val="0"/>
          <w:i w:val="0"/>
          <w:sz w:val="24"/>
        </w:rPr>
        <w:t>Il quarto pannello ricostruisce l'asse Santa Sede-Turchia e l'attentato del tredici maggio millenovecentottantuno, e impone al registro un'operazione di armonizzazione dei gradi fra allegato e corpus che costituisce l'esito più delicato della triangolazione. La traiettoria di Ağca è accertata: l'omicidio del direttore di Milliyet İpekçi il primo febbraio millenovecentosettantanove, con la divergenza dichiarata fra i quattro-cinque colpi e i tredici bossoli refertati; l'evasione dal carcere militare di Kartal-Maltepe il venticinque novembre millenovecentosettantanove; la lettera minatoria a Milliyet del ventisette novembre con l'appellativo di capo dei crociati rivolto al pontefice, diciotto mesi prima dell'attentato; il viaggio di Giovanni Paolo Secondo in Turchia dal ventotto al trenta novembre millenovecentosettantanove svoltosi senza incidenti, con l'avvio del dialogo teologico al Fanar e la presenza del ministro Rognoni; l'attentato in piazza San Pietro e l'ergastolo del ventidue luglio millenovecentottantuno. L'appartenenza di Ağca all'ambiente ülkücü dei Lupi Grigi è un fatto; l'allegato mantiene la distinzione fra appartenenza dell'individuo e condotta dell'organizzazione, con il partito di Türkeş fondato nel millenovecentosessantanove e messo al bando dopo il golpe di Evren del millenovecentottanta, e con la tesi di Brauns sulla diaspora tedesca dell'ambiente classificata come ipotesi. Le dichiarazioni successive dell'attentatore sono dichiarate prive di valore di accertamento.</w:t>
      </w:r>
    </w:p>
    <w:p>
      <w:pPr>
        <w:spacing w:line="276" w:lineRule="auto" w:after="0" w:before="0"/>
        <w:ind w:firstLine="425"/>
        <w:jc w:val="both"/>
      </w:pPr>
      <w:r>
        <w:rPr>
          <w:rFonts w:ascii="Times New Roman" w:hAnsi="Times New Roman" w:cs="Times New Roman" w:eastAsia="Times New Roman"/>
          <w:b w:val="0"/>
          <w:i w:val="0"/>
          <w:sz w:val="24"/>
        </w:rPr>
        <w:t xml:space="preserve">Sulla pista bulgara l'allegato stabilisce la non prova giudiziale — la genesi pubblicistica in Sterling sul Reader's Digest dell'agosto millenovecentottantadue, l'arresto di Antonov del venticinque novembre millenovecentottantadue, l'assoluzione per insufficienza di prove della Corte d'assise di Roma del ventinove marzo millenovecentottantasei per Antonov, Vassilev, Ajvazov, Çelebi e Çelik, la conferma in appello del diciannove dicembre millenovecentottantasette — e vi affianca la convergenza indipendente della documentazione statunitense: i documenti FRUS del volume decimo, con Casey che dichiara l'impossibilità di sviluppare un quadro conclusivo, la valutazione secondo cui tutto dipende unicamente dalla testimonianza di Ağca, il giudizio del Consiglio per la sicurezza nazionale sulle pochissime prove, e la testimonianza di Goodman al Senato del primo ottobre millenovecentonovantuno sulle pressioni interne all'agenzia, che attesta tensioni e non merito; chiude il quadro l'esito della Commissione Mitrokhin, con il documento conclusivo non approvato il quindici marzo duemilasei e la relazione di minoranza del ventitre marzo sull'insistenza pedissequa nella pista senza risultato stabile. Il corpus federato presenta su questo punto una stratificazione di gradi non omogenea che il registro deve dichiarare: il registro analitico dei nodi, nell'arco quarto della serie, qualifica la pista bulgara come depistaggio successivo entro una scheda classificata al livello documentato, e un dossier della serie sulla strategia della tensione la attribuisce come artefatto alla propaganda psicologica occidentale con regia dei vertici del servizio militare italiano e rilancio della Sterling; il Registro Unico Federato, nell'asserzione AS-0019, adotta invece la formulazione rigorosa — l'ipotesi di direzione esterna non supera alcun test, resta vettore d'indagine sotto soglia iscritto al Registro degli Esiti Negativi, e per regola di ferro nessun grado migra dal piano dell'attività al piano del mandato. La triangolazione raccomanda l'allineamento dell'intera linea federata sulla formulazione dell'asserzione AS-0019, con la precisazione che la qualità di depistaggio orchestrato è essa stessa un'asserzione positiva che richiede fonte propria e non discende automaticamente dall'assoluzione: l'assoluzione prova la non prova dell'accusa, non la fabbricazione dell'accusa, e la convergenza CIA acquisita dall'allegato — che documenta lo scetticismo analitico interno e le pressioni, non la regia — rafforza la non prova senza fondare la fabbricazione. La dizione depistaggio resta dunque al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come ipotesi falsificabile, mentre la non prova giudiziale e la convergenza documentale statunitense stanno al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line="276" w:lineRule="auto" w:after="0" w:before="0"/>
        <w:ind w:firstLine="425"/>
        <w:jc w:val="both"/>
      </w:pPr>
      <w:r>
        <w:rPr>
          <w:rFonts w:ascii="Times New Roman" w:hAnsi="Times New Roman" w:cs="Times New Roman" w:eastAsia="Times New Roman"/>
          <w:b w:val="0"/>
          <w:i w:val="0"/>
          <w:sz w:val="24"/>
        </w:rPr>
        <w:t>Il pannello consegna inoltre il quadro delle relazioni fra Santa Sede e Turchia — la missione di Roncalli fra il millenovecentotrentacinque e il millenovecentoquarantaquattro con l'opera in favore di circa venticinquemila ebrei e i rapporti con von Papen; l'internunziatura del venticinque gennaio millenovecentosessanta e la nunziatura del trenta agosto millenovecentosessantasei; il dialogo cattolico-ortodosso da Gerusalemme cinque gennaio millenovecentosessantaquattro alla dichiarazione del sette dicembre millenovecentosessantacinque fino a Patmos-Rodi millenovecentottanta; la chiusura di Halki nel millenovecentosettantuno e l'esclusione dei cattolici latini dal regime delle minoranze degli articoli trentasette-quarantacinque di Losanna millenovecentoventitre — e il profilo moroteo dell'asse: una politica comunitaria e mediterranea, non confessionale, con la firma dell'accordo provvisorio fra Comunità e Turchia del ventisette luglio millenovecentosettantuno e l'esito negativo dichiarato sulla questione di Halki e delle minoranze, con sede di scioglimento nell'archivio diplomatico. La triangolazione certa del pannello resta quella già acquisita al capitolo terzo: le tre firme — Santa Sede, Turchia, Italia di Moro — sull'Atto finale di Helsinki del primo agosto millenovecentosettantacinque, con la Santa Sede membro pieno di una conferenza paneuropea per la prima volta dopo Vienna e con la proposta sulla libertà religiosa del sette marzo millenovecentosettantatre confluita nel settimo principio.</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Il pannello turco consegna la traiettoria di Ağca ad accertamento pieno sul piano dell'attività, la non prova giudiziale della pista bulgara rafforzata dalla convergenza indipendente della documentazione statunitense, e l'operazione di armonizzazione dei gradi che allinea la linea federata sulla formulazione dell'asserzione AS-0019 del Registro Unico, degradando la qualifica di depistaggio orchestrato a ipotesi di terzo livello in attesa di fonte propria: un caso esemplare di applicazione della regola per cui la confutazione di un'accusa non equivale alla prova della sua fabbricazione.</w:t>
      </w:r>
    </w:p>
    <w:p>
      <w:pPr>
        <w:spacing w:line="276" w:lineRule="auto" w:before="280" w:after="160"/>
        <w:ind w:firstLine="0"/>
        <w:jc w:val="both"/>
      </w:pPr>
      <w:r>
        <w:rPr>
          <w:rFonts w:ascii="Times New Roman" w:hAnsi="Times New Roman" w:cs="Times New Roman" w:eastAsia="Times New Roman"/>
          <w:b/>
          <w:i w:val="0"/>
          <w:sz w:val="24"/>
        </w:rPr>
        <w:t>Capitolo quinto — Il pannello aginteriano: lo scarto fra cognizione informativa e cognizione diplomatica, le verifiche in negativo isomorfe e la doppia valenza del nodo Langemann</w:t>
      </w:r>
    </w:p>
    <w:p>
      <w:pPr>
        <w:spacing w:line="276" w:lineRule="auto" w:after="0" w:before="0"/>
        <w:ind w:firstLine="425"/>
        <w:jc w:val="both"/>
      </w:pPr>
      <w:r>
        <w:rPr>
          <w:rFonts w:ascii="Times New Roman" w:hAnsi="Times New Roman" w:cs="Times New Roman" w:eastAsia="Times New Roman"/>
          <w:b w:val="0"/>
          <w:i w:val="0"/>
          <w:sz w:val="24"/>
        </w:rPr>
        <w:t xml:space="preserve">Il quinto pannello, composto da tre allegati, costituisce il baricentro della sessione e converge con il segmento più denso del corpus federato — i registri aginteriani, il volume sul triangolo sudafricano e la ricerca quarta della serie sullo stress-test della non-connessione. Il primo allegato stabilisce lo scarto strutturale fra i due canali di cognizione dello Stato italiano. Sul versante informativo la cognizione è positiva e datata: l'appunto del servizio del sedici dicembre millenovecentosessantanove — quattro giorni dopo la strage di piazza Fontana, da fonte confidenziale, trasmesso alla magistratura soltanto nel marzo millenovecentosettantatre — indica la mente ispiratrice in Guérin-Sérac, con gli errori del tedesco e della dizione storpiata della sigla, Delle Chiaie come organizzatore e Merlino come filo-cinese, corretto il giorno dopo in anarchico; il fascicolo è censito al volume quaranta, fascicolo quinto. Il servizio sapeva — i dossier interni qualificavano l'agenzia come anticomunista — ma trasmise una versione fuorviante coerente con la pista Valpreda, rifiutando di partecipare all'inchiesta e trasmettendo solo agli organi di polizia; l'ipotesi del giudice istruttore di un ossequio a un accordo ad alto livello resta ricostruzione e non fatto. Sul versante diplomatico lo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conoscitivo è confermato: nessuna traccia negli ambasciatori a Lisbona dell'epoca — Cerulli Irelli, Messeri dal ventisei marzo millenovecentosettantuno, Alverà dal dieci luglio millenovecentosettantacinque — con le tre cause dichiarate della collana documentale ferma al millenovecentocinquantadue, del regime di consultazione dell'archivio diplomatico e del silenzio storiografico. La composizione governativa del sedici dicembre millenovecentosessantanove — Rumor secondo, Restivo all'Interno, Gui alla Difesa con Cossiga sottosegretario, Moro agli Esteri — colloca la dipendenza del servizio presso la Difesa e rende non plausibile il transito della carta per la Farnesina: la contemporaneità non è cognizione del ministro, e l'accostamento fra Aginter e il caso Moro resta </w:t>
      </w:r>
      <w:r>
        <w:rPr>
          <w:rFonts w:ascii="Times New Roman" w:hAnsi="Times New Roman" w:cs="Times New Roman" w:eastAsia="Times New Roman"/>
          <w:b/>
          <w:i w:val="0"/>
          <w:sz w:val="24"/>
        </w:rPr>
        <w:t>non sostenuto</w:t>
      </w:r>
      <w:r>
        <w:rPr>
          <w:rFonts w:ascii="Times New Roman" w:hAnsi="Times New Roman" w:cs="Times New Roman" w:eastAsia="Times New Roman"/>
          <w:b w:val="0"/>
          <w:i w:val="0"/>
          <w:sz w:val="24"/>
        </w:rPr>
        <w:t>, con l'esito negativo di primaria importanza che nelle settecentomila pagine della Commissione presieduta da Fioroni nessuna asserzione aginteriana compare e che le sentenze attribuiscono la responsabilità esclusiva alle Brigate Rosse.</w:t>
      </w:r>
    </w:p>
    <w:p>
      <w:pPr>
        <w:spacing w:line="276" w:lineRule="auto" w:after="0" w:before="0"/>
        <w:ind w:firstLine="425"/>
        <w:jc w:val="both"/>
      </w:pPr>
      <w:r>
        <w:rPr>
          <w:rFonts w:ascii="Times New Roman" w:hAnsi="Times New Roman" w:cs="Times New Roman" w:eastAsia="Times New Roman"/>
          <w:b w:val="0"/>
          <w:i w:val="0"/>
          <w:sz w:val="24"/>
        </w:rPr>
        <w:t xml:space="preserve">La triangolazione col corpus produce qui la convergenza documentale più significativa della sessione. Il documento dottrinale sequestrato a Caxias e reso pubblico nell'ottobre millenovecentosettantaquattro — Notre action politique, datato novembre millenovecentosessantanove e inviato a Lisbona dai corrispondenti italiani — enuncia il programma dell'installazione del caos sotto copertura di attività comuniste e filo-cinesi e dichiara l'avvenuta infiltrazione di uomini propri in quei gruppi; l'istruttoria milanese documenta l'infiltrazione di Leroy nei gruppi filocinesi torinesi in parallelo all'opera di Ventura a Padova e di Merlino nell'ambiente anarchico romano. La qualificazione di Merlino come filo-cinese nell'appunto del sedici dicembre — poi corretta — coincide dunque letteralmente con la copertura prescritta dal documento dottrinale redatto il mese precedente: la carta del servizio italiano rifletteva, quattro giorni dopo la strage, il lessico della falsa bandiera prescritto dalla centrale lisbonese. Questa coincidenza lessicale-temporale fra fonte italiana e fonte portoghese, genealogicamente indipendenti — l'appunto proviene dal fascicolo del servizio, il documento dottrinale dal sequestro di Caxias, due catene di custodia senza evento comune — integra i requisiti della convergenza eterogenea e viene iscritta al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come connessione indiziaria di alto valore diagnostico, con la precisazione che essa illumina la qualità della disinformazione veicolata e non prova, da sola, la committenza dell'appunto.</w:t>
      </w:r>
    </w:p>
    <w:p>
      <w:pPr>
        <w:spacing w:line="276" w:lineRule="auto" w:after="0" w:before="0"/>
        <w:ind w:firstLine="425"/>
        <w:jc w:val="both"/>
      </w:pPr>
      <w:r>
        <w:rPr>
          <w:rFonts w:ascii="Times New Roman" w:hAnsi="Times New Roman" w:cs="Times New Roman" w:eastAsia="Times New Roman"/>
          <w:b w:val="0"/>
          <w:i w:val="0"/>
          <w:sz w:val="24"/>
        </w:rPr>
        <w:t xml:space="preserve">Il secondo e il terzo allegato eseguono la verifica in negativo della triangolazione fra la sfera di Strauß e Aginter, dichiaratamente isomorfa allo stress-test della non-connessione fra Kissinger e Aginter già federato come ricerca quarta della serie: in entrambi i casi l'onere della prova grava su chi afferma la connessione e una connessione non documentata è, ai fini dell'opera, una connessione inesistente. L'esito è lo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confermato su base ampliata. Nessuna fonte accademica sottoposta a revisione, nessun atto parlamentare tedesco, nessuna sentenza, nessun documento con segnatura attesta un contatto fra Aginter e la CSU, la fondazione bavarese o Strauß; la biografia di Möller del duemilaquindici, fondata sull'accesso completo al lascito di circa trecento metri lineari, non contiene alcun riferimento all'agenzia, e nessun recensore segnala tale silenzio, che vale come conferma per assenza; le opere che hanno esaminato i documenti sequestrati — Duarte de Jesus duemiladodici, Christie millenovecentottantaquattro, l'articolo di Guerra del duemilaventisei sulla rivista di studi critici sul terrorismo — non attestano il nome di Strauß né della CSU, con la riserva dichiarata che il testo integrale dell'articolo del duemilaventisei resta dietro barriera d'accesso. La sola affermazione contraria circolante — il documentario della seconda rete tedesca del sedici febbraio duemila, con i contatti asseriti fra agenti dell'agenzia e Marcel Hepp, referente personale di Strauß dall'autunno millenovecentosessantacinque su mediazione di Mohler e caporedattore del Bayernkurier dal primo maggio millenovecentosessantasette, e con il corriere indicato in un Dieter Huber privo di ogni riscontro biografico — poggia esclusivamente sul documentario, senza fondo, senza segnatura, senza ripresa accademica; è significativo che nemmeno l'opera più citata sul tema contenga l'allegazione, che risulta dunque falsamente percepita come sorretta da avallo scientifico per l'accostamento a fatti aginteriani meglio documentati. La tesi resta </w:t>
      </w:r>
      <w:r>
        <w:rPr>
          <w:rFonts w:ascii="Times New Roman" w:hAnsi="Times New Roman" w:cs="Times New Roman" w:eastAsia="Times New Roman"/>
          <w:b/>
          <w:i w:val="0"/>
          <w:sz w:val="24"/>
        </w:rPr>
        <w:t>non sostenuta</w:t>
      </w:r>
      <w:r>
        <w:rPr>
          <w:rFonts w:ascii="Times New Roman" w:hAnsi="Times New Roman" w:cs="Times New Roman" w:eastAsia="Times New Roman"/>
          <w:b w:val="0"/>
          <w:i w:val="0"/>
          <w:sz w:val="24"/>
        </w:rPr>
        <w:t>, con la soglia dichiarata che ne muterebbe lo stato: l'esibizione di un documento con segnatura della Torre do Tombo che nomini Strauß, Hepp o la CSU.</w:t>
      </w:r>
    </w:p>
    <w:p>
      <w:pPr>
        <w:spacing w:line="276" w:lineRule="auto" w:after="0" w:before="0"/>
        <w:ind w:firstLine="425"/>
        <w:jc w:val="both"/>
      </w:pPr>
      <w:r>
        <w:rPr>
          <w:rFonts w:ascii="Times New Roman" w:hAnsi="Times New Roman" w:cs="Times New Roman" w:eastAsia="Times New Roman"/>
          <w:b w:val="0"/>
          <w:i w:val="0"/>
          <w:sz w:val="24"/>
        </w:rPr>
        <w:t>Due acquisizioni collaterali completano il quadro tedesco. La prima è il termine di paragone dell'affare Spiegel: nell'ottobre millenovecentosessantadue l'unico contatto operativo documentato di Strauß con un apparato di polizia di un regime autoritario iberico corse per la catena Strauß-Oster-polizia franchista di Málaga, con l'addetto militare tedesco a Madrid come snodo e non con un rapporto istituzionalizzato con la Dirección General de Seguridad; il ministro negò in aula e dovette ammettere il nove novembre, la procura di Bonn riconobbe l'integrazione oggettiva dei reati escludendo l'elemento soggettivo con l'archiviazione del tre giugno millenovecentosessantacinque, e la Corte costituzionale respinse il ricorso della testata il cinque agosto millenovecentosessantasei con parità di voti fissando i principi sulla libertà di stampa. La seconda è il progetto trilaterale del millenovecentocinquantasette-cinquantotto: l'unico terreno documentato di incontro fra l'attività ministeriale di Strauß e un ministro italiano è la sequenza Colomb-Béchar diciassette gennaio millenovecentocinquantasette, protocollo di Parigi venticinque novembre millenovecentocinquantasette esteso alle armi nucleari, parafatura di Roma otto aprile millenovecentocinquantotto fra Chaban-Delmas, Strauß e Taviani per l'impianto di Pierrelatte, troncata da de Gaulle il diciassette giugno millenovecentocinquantotto — terreno interamente atlantico e anteriore di otto anni alla fondazione dell'agenzia; la circostanza che il medesimo Taviani sia indicato dalla storiografia fra le figure connesse alla creazione della rete di permanenza clandestina italiana è registrata come fatto biografico senza inferenza di nesso, in ossequio al divieto di trattare la contemporaneità come prova.</w:t>
      </w:r>
    </w:p>
    <w:p>
      <w:pPr>
        <w:spacing w:line="276" w:lineRule="auto" w:after="0" w:before="0"/>
        <w:ind w:firstLine="425"/>
        <w:jc w:val="both"/>
      </w:pPr>
      <w:r>
        <w:rPr>
          <w:rFonts w:ascii="Times New Roman" w:hAnsi="Times New Roman" w:cs="Times New Roman" w:eastAsia="Times New Roman"/>
          <w:b w:val="0"/>
          <w:i w:val="0"/>
          <w:sz w:val="24"/>
        </w:rPr>
        <w:t xml:space="preserve">Il punto di co-orbita fra le due sfere resta il Cercle, e qui la triangolazione col corpus federato aggiunge sostanza senza mutare il grado. Il corpus documenta Strauß membro permanente del Cercle dal millenovecentocinquantotto, Violet organizzatore degli incontri riservati fra Pinay, Adenauer e Strauß che prepararono l'asse dell'Eliseo, Damman fondatore nel gennaio millenovecentosessantanove dell'Académie Européenne des Sciences Politiques divenuta braccio operativo del Cercle dopo l'incontro fra Violet e Damman a Bruxelles del ventotto ottobre millenovecentosessantanove, e Andreotti rappresentante italiano dalla fine degli anni Sessanta; il collegamento fra Guérin-Sérac e l'orbita para-atlantica passa, nella letteratura sui documenti del Cercle, per il medesimo asse belga. L'adesione di soggetti diversi a una medesima struttura-ombrello non costituisce rapporto operativo: la co-orbita resta congettura di rete al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Ma la verifica bavarese del terzo allegato produce una scoperta di secondo ordine che il registro formalizza come doppia valenza del nodo Langemann: la commissione d'inchiesta del parlamento bavarese del millenovecentottantadue — quella presso cui un indizio di bassa affidabilità collocava una menzione dell'agenzia — riguardò l'affare Langemann, e la verifica sui materiali reperibili dà esito negativo sulla menzione, retrocedendo l'indizio; sennonché le carte di Hans Langemann, capo dei servizi bavaresi, sono nel corpus federato una delle fonti primarie sul Cercle e sulla rete di Crozier, esposte proprio dalle rivelazioni del millenovecentottantadue. Il medesimo evento archivistico è dunque negativo sull'asse Aginter-Baviera e positivo sull'asse Cercle-Baviera: la mappa delle assenze e la mappa delle presenze si incrociano sullo stesso fondo, e la sede di scioglimento — l'archivio del parlamento bavarese per i verbali non digitalizzati — serve simultaneamente entrambe le linee di ricerca. Chiude il quadro la convergenza sulla traiettoria post-lisbonese: il corpus documenta la migrazione di Guérin-Sérac e dei suoi ad Albufereta presso Alicante, sito del gruppo di Skorzeny, dopo l'aprile millenovecentosettantaquattro, il che salda al terzo grado — e non oltre il terzo grado — la catena verso l'ambiente del Kampfbund e della galassia paramilitare tedesca che l'allegato aveva già circoscritto, confermando che fra l'agenzia e la formazione di Hoffmann non sussiste contatto diretto documentato.</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Il pannello aginteriano consegna quattro acquisizioni: la formalizzazione dello scarto fra cognizione informativa positiva e depistante e cognizione diplomatica nulla dello Stato italiano sull'agenzia, con la non plausibilità del transito per la Farnesina di Moro; la convergenza lessicale-temporale di secondo livello fra l'appunto del sedici dicembre millenovecentosessantanove e il documento dottrinale del novembre precedente, iscritta come connessione indiziaria genealogicamente indipendente; la conferma su base ampliata dello Stato Zero fra la sfera di Strauß e l'agenzia, con la degradazione dell'unica allegazione contraria a tesi non sostenuta e con i termini di paragone dell'affare Spiegel e del progetto trilaterale; e la doppia valenza del nodo Langemann, negativo sull'asse aginteriano e positivo sull'asse del Cercle, che unifica in una sola sede archivistica bavarese due linee di verifica del progetto.</w:t>
      </w:r>
    </w:p>
    <w:p>
      <w:pPr>
        <w:spacing w:line="276" w:lineRule="auto" w:before="280" w:after="160"/>
        <w:ind w:firstLine="0"/>
        <w:jc w:val="both"/>
      </w:pPr>
      <w:r>
        <w:rPr>
          <w:rFonts w:ascii="Times New Roman" w:hAnsi="Times New Roman" w:cs="Times New Roman" w:eastAsia="Times New Roman"/>
          <w:b/>
          <w:i w:val="0"/>
          <w:sz w:val="24"/>
        </w:rPr>
        <w:t>Capitolo sesto — La calibrazione libica: comportamentale, archivistico o misto, e il raffinamento della teoria del silenzio</w:t>
      </w:r>
    </w:p>
    <w:p>
      <w:pPr>
        <w:spacing w:line="276" w:lineRule="auto" w:after="0" w:before="0"/>
        <w:ind w:firstLine="425"/>
        <w:jc w:val="both"/>
      </w:pPr>
      <w:r>
        <w:rPr>
          <w:rFonts w:ascii="Times New Roman" w:hAnsi="Times New Roman" w:cs="Times New Roman" w:eastAsia="Times New Roman"/>
          <w:b w:val="0"/>
          <w:i w:val="0"/>
          <w:sz w:val="24"/>
        </w:rPr>
        <w:t>Il sedicesimo allegato usa la crisi libica del millenovecentosettanta come reagente per decidere se il non-comparire dello Stato italiano nei sei perimetri diplomatici delle ricognizioni anteriori — Spagna, Portogallo, Grecia, Cipro, Turchia, Germania — misuri una condotta reale o un artefatto dell'accessibilità delle carte, e la risposta motivata che consegna è che il silenzio è misto, con prevalenza comportamentale nei casi studiati e prevalenza archivistica nei casi non studiati. Nel caso di calibrazione — la confisca dei beni della comunità italiana disposta dal Consiglio del Comando della Rivoluzione il ventuno luglio millenovecentosettanta, dopo il discorso di Misurata la cui data oscilla fra il nove luglio e le settimane precedenti, e l'espulsione perfezionata entro il quindici ottobre dopo l'ultimatum del sette, con le stime degli espulsi oscillanti fra i quindicimila e i trentacinquemila secondo il criterio di computo e con il valore dei beni fra i duecento e i quattrocento miliardi di lire — lo Stato agì e l'azione è documentata: la monografia di Varvelli, fondata sull'archivio diplomatico integrato dagli archivi anglo-americani, ricostruisce la scelta consapevole di Moro di scartare le ritorsioni, riallacciare con Tripoli e puntare alle compensazioni economiche indirette; nel marzo millenovecentosettantuno l'Italia contribuì a far fallire un tentativo di colpo di Stato contro Gheddafi con il sequestro a Trieste del battello Conquistador Tredici; il cinque maggio millenovecentosettantuno Moro incontrò Gheddafi a Tripoli, con traccia nel fondo conservato presso l'archivio storico del Senato; e la legge millesessantasei del millenovecentosettantuno dispose un primo acconto sugli indennizzi nella misura media del quindici per cento, azione statale coeva sul versante interno. La condizione della lettura — che il nesso fra gli interessi energetici e la rinuncia alle ritorsioni sia interpretazione argomentata della storiografia e non fatto autoevidente — è mantenuta, con la circostanza documentata che l'ente petrolifero nazionale, a differenza delle compagnie anglo-americane, non fu nazionalizzato e raggiunse un accordo con Tripoli nel millenovecentosettantadue.</w:t>
      </w:r>
    </w:p>
    <w:p>
      <w:pPr>
        <w:spacing w:line="276" w:lineRule="auto" w:after="0" w:before="0"/>
        <w:ind w:firstLine="425"/>
        <w:jc w:val="both"/>
      </w:pPr>
      <w:r>
        <w:rPr>
          <w:rFonts w:ascii="Times New Roman" w:hAnsi="Times New Roman" w:cs="Times New Roman" w:eastAsia="Times New Roman"/>
          <w:b w:val="0"/>
          <w:i w:val="0"/>
          <w:sz w:val="24"/>
        </w:rPr>
        <w:t>Il valore del capitolo per il registro sta però nelle tre conseguenze teoriche. La prima è il collegamento con l'effetto lampione, che il Registro Unico Federato ha costituzionalizzato nella formula per cui la densità documentale misura l'attenzione e non l'intensità storica: la calibrazione libica ne è il primo test positivo controllato, perché dimostra che dove uno studioso ha aperto le serie pertinenti — la Libia con Varvelli, la Cina con le carte sul riconoscimento del sei novembre millenovecentosettanta e il carteggio Moro-Saragat, Helsinki con gli studi fondati sull'archivio diplomatico, l'asse tedesco con la ricerca sulla relazione fra Roma e Bonn — l'azione italiana è sempre emersa, sicché il silenzio dei sei perimetri misura in prima istanza l'assenza di studi e solo in seconda istanza, da accertare, l'assenza di atti. La seconda è il corollario di Osimo, che l'allegato verifica e conferma: le trattative per il trattato del dieci novembre millenovecentosettantacinque furono condotte per scelta deliberata attraverso un canale del Ministero dell'Industria, il direttore generale Carbone, predisposto nel millenovecentosettantatre dai ministri Medici e Minić, aggirando la Farnesina — primo trattato internazionale i cui negoziati per l'Italia non furono curati dagli Esteri, con le dimissioni dell'ambasciatore Giurati alla vigilia della firma. Ne discende un raffinamento della scala delle assenze che il registro formalizza: accanto al silenzio comportamentale e al silenzio archivistico va istituito il silenzio da delocalizzazione del canale, nel quale l'assenza nell'archivio del dominio competente è compatibile con la presenza di azione condotta per canale eterodosso, e la ricerca dell'atto va estesa agli archivi dei domini contigui prima di dichiarare l'inazione. La terza è la gerarchia dei fattori di opacità: il singolo fattore che più pesa sul silenzio percepito è la collana ufficiale dei documenti diplomatici ferma alla prima parte del settimo governo De Gasperi, cui si sommano il regime di consultazione condizionata dell'archivio della Farnesina per le carte dal millenovecentoquarantanove e la banca dati del sindacato ispettivo che parte solo dal cinque luglio millenovecentosettantasei; la rettifica inventariale acquisita — la busta centotrentanove del fondo Moro contiene materiale esteri già per il primo mandato, incluso il rapporto di fine missione dell'ambasciatore Borromeo — corregge un'avvertenza anteriore del progetto.</w:t>
      </w:r>
    </w:p>
    <w:p>
      <w:pPr>
        <w:spacing w:line="276" w:lineRule="auto" w:after="0" w:before="0"/>
        <w:ind w:firstLine="425"/>
        <w:jc w:val="both"/>
      </w:pPr>
      <w:r>
        <w:rPr>
          <w:rFonts w:ascii="Times New Roman" w:hAnsi="Times New Roman" w:cs="Times New Roman" w:eastAsia="Times New Roman"/>
          <w:b w:val="0"/>
          <w:i w:val="0"/>
          <w:sz w:val="24"/>
        </w:rPr>
        <w:t>La ripartizione ragionata dei sei perimetri è recepita con i suoi gradi: per la Germania il silenzio è probabilmente archivistico, perché l'azione italiana verso l'Ostpolitik esiste ed è documentabile; per il Portogallo è verosimilmente misto, con la vicenda dell'espulsione dei missionari comboniani dal Mozambico del tredici aprile millenovecentosettantaquattro — conseguenza del documento Imperativo di coscienza, con il vescovo Vieira Pinto e undici religiosi — documentata sul versante ecclesiastico e non studiata sul versante della reazione italiana; per Grecia, Cipro e Turchia resta indeterminato e presuntivamente archivistico, con l'avvertenza della dispersione multilaterale della traccia; per la Spagna la povertà reperita potrebbe riflettere una reale marginalità del dossier, ma l'affermazione è sospesa fino allo spoglio. La soglia di riclassificazione è dichiarata: note verbali, istruzioni agli ambasciatori o iniziative multilaterali emergenti dallo spoglio riclassificherebbero il perimetro come comportamentalmente attivo; l'esaurimento di tutte le sedi senza atto lo qualificherebbe come comportamentale con la sicurezza che oggi compete al solo caso libico rovesciato.</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La calibrazione libica consegna la prova controllata che lo strumento delle ricognizioni misura in modo affidabile ciò che gli studi hanno reso visibile e in modo inaffidabile ciò che nessuno ha scandagliato; il corollario di Osimo, che istituisce la terza specie del silenzio da delocalizzazione del canale accanto al comportamentale e all'archivistico; la gerarchia dei fattori di opacità con la collana documentale ferma al millenovecentocinquantadue al primo posto; e la rettifica inventariale sul fondo Moro, il cui materiale esteri copre già il primo mandato.</w:t>
      </w:r>
    </w:p>
    <w:p>
      <w:pPr>
        <w:spacing w:line="276" w:lineRule="auto" w:before="280" w:after="160"/>
        <w:ind w:firstLine="0"/>
        <w:jc w:val="both"/>
      </w:pPr>
      <w:r>
        <w:rPr>
          <w:rFonts w:ascii="Times New Roman" w:hAnsi="Times New Roman" w:cs="Times New Roman" w:eastAsia="Times New Roman"/>
          <w:b/>
          <w:i w:val="0"/>
          <w:sz w:val="24"/>
        </w:rPr>
        <w:t>Capitolo settimo — Triangolazioni incrociate, armonizzazioni e bilancio probatorio della sessione</w:t>
      </w:r>
    </w:p>
    <w:p>
      <w:pPr>
        <w:spacing w:line="276" w:lineRule="auto" w:after="0" w:before="0"/>
        <w:ind w:firstLine="425"/>
        <w:jc w:val="both"/>
      </w:pPr>
      <w:r>
        <w:rPr>
          <w:rFonts w:ascii="Times New Roman" w:hAnsi="Times New Roman" w:cs="Times New Roman" w:eastAsia="Times New Roman"/>
          <w:b w:val="0"/>
          <w:i w:val="0"/>
          <w:sz w:val="24"/>
        </w:rPr>
        <w:t xml:space="preserve">La messa in rete dei sei pannelli produce tre assi trasversali che nessun allegato, preso singolarmente, conteneva. Il primo è l'asse portoghese, che assume la forma di un chiasmo: nella Lisbona salazarista dei tardi anni Sessanta la polizia politica proteggeva la centrale aginteriana — struttura clandestina di guerra non ortodossa con copertura giornalistica — e simultaneamente sorvegliava con sospetto l'Opus Dei, rete legale di apostolato con radicamento quasi trentennale nel Paese; nel medesimo torno di tempo il vertice della Chiesa riceveva in udienza, il primo luglio millenovecentosettanta, i capi dei movimenti di liberazione che la centrale lisbonese combatteva, e Roma ospitava il centro dell'antisalazarismo cattolico; la crisi terminale del regime restituì infine, con l'espulsione dei comboniani dal Mozambico dell'aprile millenovecentosettantaquattro, il punto in cui i due pannelli — quello aginteriano e quello della calibrazione — convergono su un medesimo evento con statuti di fonte diversi. Il chiasmo dimostra che il campo cattolico transnazionale non fu un blocco: il regime iberico distingueva operativamente fra le reti cattoliche secondo l'utilità e non secondo la confessione, e questa distinzione operativa è un dato strutturale di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nei suoi elementi costitutivi, ciascuno documentato per via indipendente.</w:t>
      </w:r>
    </w:p>
    <w:p>
      <w:pPr>
        <w:spacing w:line="276" w:lineRule="auto" w:after="0" w:before="0"/>
        <w:ind w:firstLine="425"/>
        <w:jc w:val="both"/>
      </w:pPr>
      <w:r>
        <w:rPr>
          <w:rFonts w:ascii="Times New Roman" w:hAnsi="Times New Roman" w:cs="Times New Roman" w:eastAsia="Times New Roman"/>
          <w:b w:val="0"/>
          <w:i w:val="0"/>
          <w:sz w:val="24"/>
        </w:rPr>
        <w:t xml:space="preserve">Il secondo asse è quello bavarese, che la sessione consegna in forma di mappa a doppio strato. Lo strato delle presenze documentate comprende Strauß membro permanente del Cercle dal millenovecentocinquantotto, il credito miliardario alla Repubblica Democratica del primo luglio millenovecentottantatre mediato con Schalck-Golodkowski, il viaggio cileno del novembre millenovecentosettantasette, la sequenza dei sommergibili sudafricani, la fondazione bavarese presente in Namibia dal millenovecentosettantotto e l'affare Spiegel come unico contatto operativo con una polizia iberica, mediato dall'addetto militare. Lo strato delle assenze certificate comprende lo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fra la CSU e Aginter, lo </w:t>
      </w:r>
      <w:r>
        <w:rPr>
          <w:rFonts w:ascii="Times New Roman" w:hAnsi="Times New Roman" w:cs="Times New Roman" w:eastAsia="Times New Roman"/>
          <w:b/>
          <w:i w:val="0"/>
          <w:sz w:val="24"/>
        </w:rPr>
        <w:t>Stato Zero</w:t>
      </w:r>
      <w:r>
        <w:rPr>
          <w:rFonts w:ascii="Times New Roman" w:hAnsi="Times New Roman" w:cs="Times New Roman" w:eastAsia="Times New Roman"/>
          <w:b w:val="0"/>
          <w:i w:val="0"/>
          <w:sz w:val="24"/>
        </w:rPr>
        <w:t xml:space="preserve"> fra il partito nazionaldemocratico e l'agenzia, l'assenza della CSU dalla conferenza fondativa della lega anticomunista mondiale — dove i partecipanti tedeschi appartenevano ad altre formazioni — e l'assenza di ogni menzione aginteriana nei materiali reperibili della commissione bavarese del millenovecentottantadue. La sovrapposizione dei due strati sul nodo Langemann — fondo negativo per l'agenzia, fondo primario per il Cercle — indica con precisione dove la mappa delle assenze e la mappa delle presenze condividono la sede archivistica, e istituisce la priorità di accesso in loco per la trentaquattresima campagna o per quelle successive. A questo asse appartiene anche l'ancoraggio opusdeista: l'ente raggiunse la Baviera solo alla fine degli anni Settanta, sicché ogni triangolazione precoce fra l'ambiente di Strauß e l'ente è priva di base cronologica.</w:t>
      </w:r>
    </w:p>
    <w:p>
      <w:pPr>
        <w:spacing w:line="276" w:lineRule="auto" w:after="0" w:before="0"/>
        <w:ind w:firstLine="425"/>
        <w:jc w:val="both"/>
      </w:pPr>
      <w:r>
        <w:rPr>
          <w:rFonts w:ascii="Times New Roman" w:hAnsi="Times New Roman" w:cs="Times New Roman" w:eastAsia="Times New Roman"/>
          <w:b w:val="0"/>
          <w:i w:val="0"/>
          <w:sz w:val="24"/>
        </w:rPr>
        <w:t>Il terzo asse è metodologico ed è il più fecondo: la sessione ha operato quattro verifiche in negativo isomorfe — la non-connessione fra Kissinger e Aginter, già federata; la non-connessione fra la sfera di Strauß e Aginter, ora confermata su base ampliata; la non-connessione fra Moro e Aginter, con l'esito negativo di primaria importanza delle settecentomila pagine; la non-connessione fra Moro e l'Opus Dei, confermata per estraneità culturale — e una verifica di secondo grado della fonte, quella sulla tesi Hummel, che ha retrocesso un'asserzione di un allegato per mezzo di un altro allegato della medesima sessione. L'insieme configura un protocollo unitario: onere della prova su chi afferma, silenzio delle sedi qualificate come conferma per assenza quando l'accesso è stato pieno, distinzione fra inesistenza e irreperibilità, soglie dichiarate di riclassificazione. Vi si aggiunge il parallelo strutturale delle piste non provate: la pista bulgara sull'attentato al pontefice e la pista dell'eterodirezione del sequestro Moro fondata sulle dichiarazioni di collaboratore circa il contatto Stoll condividono la morfologia — genesi o rilancio pubblicistico, assenza di accertamento giudiziario, persistenza mediatica — e la sessione le allinea entrambe sotto la regola per cui nessun grado migra dal piano dell'attività al piano del mandato senza fonte propria; la qualifica di depistaggio orchestrato, dove avanzata, resta a sua volta un'asserzione bisognosa di prova e non un corollario dell'assoluzione.</w:t>
      </w:r>
    </w:p>
    <w:p>
      <w:pPr>
        <w:spacing w:line="276" w:lineRule="auto" w:after="0" w:before="0"/>
        <w:ind w:firstLine="425"/>
        <w:jc w:val="both"/>
      </w:pPr>
      <w:r>
        <w:rPr>
          <w:rFonts w:ascii="Times New Roman" w:hAnsi="Times New Roman" w:cs="Times New Roman" w:eastAsia="Times New Roman"/>
          <w:b w:val="0"/>
          <w:i w:val="0"/>
          <w:sz w:val="24"/>
        </w:rPr>
        <w:t xml:space="preserve">Sul piano della macro-ipotesi la sessione consegna un elemento nuovo che va iscritto con la massima cautela di grado: la nota manoscritta di Moro secondo cui l'Unione Sovietica mira ad indebolire l'Europa occidentale con una manovra per linee esterne, accostata ai segni di un progressivo disimpegno degli Stati Uniti. Il documento attesta la percezione dell'attore, non la realtà della manovra: esso entra nel registro come fonte di primo piano sul piano delle rappresentazioni coeve — un uomo di governo italiano del periodo formulava in privato una diagnosi strutturalmente affine alla componente sovietica di H1 e registrava in parallelo l'arretramento americano — senza che alcun grado migri verso l'ipotesi, la quale resta al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con il suo falsificatore permanente. La conferma della tesi dei fronti opposti fra Stati Uniti e Russia in entrambe le formazioni sudafricane, acquisita al capitolo primo, opera nella stessa direzione di neutralità: né conferma né falsificazione, e lo standing di H1 e di H2 esce dalla sessione invariato.</w:t>
      </w:r>
    </w:p>
    <w:p>
      <w:pPr>
        <w:spacing w:line="276" w:lineRule="auto" w:after="0" w:before="0"/>
        <w:ind w:firstLine="425"/>
        <w:jc w:val="both"/>
      </w:pPr>
      <w:r>
        <w:rPr>
          <w:rFonts w:ascii="Times New Roman" w:hAnsi="Times New Roman" w:cs="Times New Roman" w:eastAsia="Times New Roman"/>
          <w:b w:val="0"/>
          <w:i w:val="0"/>
          <w:sz w:val="24"/>
        </w:rPr>
        <w:t xml:space="preserve">Il bilancio delle confutazioni registrate nella sessione comprende: la spiegazione colonialista dell'inclusione tedesca nel Western Contact Group, sostituita dal criterio istituzionale del seggio; l'ipotesi della inversione di polarità del nodo sudafricano, sostituita dalla continuità di allineamento del soggetto; il modello bipartito dell'insediamento opusdeista, sostituito dalla forma tripartita con la terza modalità keniana; la tesi del richiamo testuale al trattato nella comunicazione vaticana del ventotto giugno millenovecentosettantadue, retrocessa a inferenza non sostenuta fino a verifica autoptica; e l'indizio della menzione aginteriana nella commissione bavarese del millenovecentottantadue, retrocesso a esito negativo. Il bilancio degli </w:t>
      </w:r>
      <w:r>
        <w:rPr>
          <w:rFonts w:ascii="Times New Roman" w:hAnsi="Times New Roman" w:cs="Times New Roman" w:eastAsia="Times New Roman"/>
          <w:b/>
          <w:i w:val="0"/>
          <w:sz w:val="24"/>
        </w:rPr>
        <w:t>Stati Zero</w:t>
      </w:r>
      <w:r>
        <w:rPr>
          <w:rFonts w:ascii="Times New Roman" w:hAnsi="Times New Roman" w:cs="Times New Roman" w:eastAsia="Times New Roman"/>
          <w:b w:val="0"/>
          <w:i w:val="0"/>
          <w:sz w:val="24"/>
        </w:rPr>
        <w:t xml:space="preserve"> confermati o istituiti comprende: Moro e il Sudafrica, come assenza coerente con la collocazione; Moro e l'Opus Dei; Moro e la CSU, con la comune appartenenza all'unione democristiana europea degradata a non-asse; Moro e Strauß; la CSU e Aginter, su base ampliata; il partito nazionaldemocratico e Aginter; la cognizione diplomatica italiana su Aginter, con le tre cause dichiarate; l'Opus Dei e la Turchia, come presupposto verificato del pannello; lo Sri Lanka nel modello di insediamento; e la posizione italiana sui cinque atti dell'Ostpolitik, con sede negli archivi diplomatici italiano e tedesco. Le divergenze numeriche dichiarate e non composte comprendono le consegne dirette e le serie produttive del programma Impala, il computo degli espulsi dalla Libia, la data del discorso di Misurata e la cronologia della prima conferenza della lega anticomunista mondiale, ciascuna con la propria sede di scioglimento.</w:t>
      </w:r>
    </w:p>
    <w:p>
      <w:pPr>
        <w:spacing w:line="276" w:lineRule="auto" w:after="0" w:before="0"/>
        <w:ind w:firstLine="425"/>
        <w:jc w:val="both"/>
      </w:pPr>
      <w:r>
        <w:rPr>
          <w:rFonts w:ascii="Times New Roman" w:hAnsi="Times New Roman" w:cs="Times New Roman" w:eastAsia="Times New Roman"/>
          <w:b w:val="0"/>
          <w:i w:val="0"/>
          <w:sz w:val="24"/>
        </w:rPr>
        <w:t>Le pendenze trasferite al programma di lavoro, ordinate per rendimento atteso, sono: la verifica autoptica de L'Osservatore Romano del ventinove-trenta giugno millenovecentosettantadue presso l'archivio dell'editrice, condizione di chiusura della tesi Hummel; l'identificazione della provenienza archivistica dei documenti del documentario tedesco del duemila, ovvero la conferma definitiva del loro carattere non documentato; la consultazione in loco dei verbali bavaresi del millenovecentottantadue e dei fascicoli di corrispondenza estera del lascito Strauß, sede a doppia valenza per l'asse aginteriano e per l'asse del Cercle; la lettura del testo integrale dell'articolo del duemilaventisei sulla rivista di studi critici sul terrorismo; il recupero dei verbali onusiani a distribuzione ristretta della serie S/AC.20; e lo spoglio della serie Affari Politici dell'archivio diplomatico per i sei perimetri negli anni millenovecentosessantanove-settantaquattro, con estensione, in forza del corollario di Osimo, agli archivi dei ministeri contigui. Le pendenze pregresse del programma federato — a cominciare dalla federazione della quinta ricognizione portoghese in apertura della trentaquattresima campagna — restano impregiudicate e non sono assorbite dal presente atto.</w:t>
      </w:r>
    </w:p>
    <w:p>
      <w:pPr>
        <w:spacing w:line="276" w:lineRule="auto" w:after="0" w:before="0"/>
        <w:ind w:firstLine="425"/>
        <w:jc w:val="both"/>
      </w:pPr>
      <w:r>
        <w:rPr>
          <w:rFonts w:ascii="Times New Roman" w:hAnsi="Times New Roman" w:cs="Times New Roman" w:eastAsia="Times New Roman"/>
          <w:b/>
          <w:i w:val="0"/>
          <w:sz w:val="24"/>
        </w:rPr>
        <w:t>Sintesi del dato nuovo acquisito.</w:t>
      </w:r>
      <w:r>
        <w:rPr>
          <w:rFonts w:ascii="Times New Roman" w:hAnsi="Times New Roman" w:cs="Times New Roman" w:eastAsia="Times New Roman"/>
          <w:b w:val="0"/>
          <w:i w:val="0"/>
          <w:sz w:val="24"/>
        </w:rPr>
        <w:t xml:space="preserve"> Le triangolazioni incrociate consegnano il chiasmo portoghese fra protezione di Aginter e sorveglianza dell'Opus Dei ad opera della medesima polizia politica; la mappa bavarese a doppio strato con la doppia valenza del nodo Langemann; il protocollo unitario delle verifiche in negativo isomorfe con la verifica di secondo grado della fonte; il parallelo strutturale delle piste non provate; l'iscrizione della nota manoscritta di Moro al piano delle rappresentazioni coeve senza migrazione di grado; e il bilancio complessivo di cinque confutazioni registrate, dieci Stati Zero confermati o istituiti, e quattro famiglie di divergenze dichiarate, con lo standing delle macro-ipotesi invariato al livello ipotetico e i falsificatori permanenti confermati.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