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0"/>
        <w:jc w:val="both"/>
      </w:pPr>
    </w:p>
    <w:p>
      <w:pPr>
        <w:spacing w:line="276" w:lineRule="auto" w:after="120" w:before="0"/>
        <w:jc w:val="both"/>
      </w:pPr>
    </w:p>
    <w:p>
      <w:pPr>
        <w:spacing w:line="276" w:lineRule="auto" w:after="120" w:before="0"/>
        <w:jc w:val="both"/>
      </w:pPr>
    </w:p>
    <w:p>
      <w:pPr>
        <w:spacing w:line="276" w:lineRule="auto" w:after="120" w:before="0"/>
        <w:jc w:val="both"/>
      </w:pPr>
    </w:p>
    <w:p>
      <w:pPr>
        <w:spacing w:line="276" w:lineRule="auto" w:after="200" w:before="0"/>
        <w:jc w:val="center"/>
      </w:pPr>
      <w:r>
        <w:rPr>
          <w:rFonts w:ascii="Times New Roman" w:hAnsi="Times New Roman" w:cs="Times New Roman" w:eastAsia="Times New Roman"/>
          <w:b/>
          <w:i w:val="0"/>
          <w:sz w:val="44"/>
        </w:rPr>
        <w:t>ITALIA NERA</w:t>
      </w:r>
    </w:p>
    <w:p>
      <w:pPr>
        <w:spacing w:line="276" w:lineRule="auto" w:after="280" w:before="0"/>
        <w:jc w:val="center"/>
      </w:pPr>
      <w:r>
        <w:rPr>
          <w:rFonts w:ascii="Times New Roman" w:hAnsi="Times New Roman" w:cs="Times New Roman" w:eastAsia="Times New Roman"/>
          <w:b/>
          <w:i w:val="0"/>
          <w:sz w:val="30"/>
        </w:rPr>
        <w:t>SEZIONE DELLA DIASPORA NAZIONALSOCIALISTA POSTBELLICA</w:t>
      </w:r>
    </w:p>
    <w:p>
      <w:pPr>
        <w:spacing w:line="276" w:lineRule="auto" w:after="480" w:before="0"/>
        <w:jc w:val="center"/>
      </w:pPr>
      <w:r>
        <w:rPr>
          <w:rFonts w:ascii="Times New Roman" w:hAnsi="Times New Roman" w:cs="Times New Roman" w:eastAsia="Times New Roman"/>
          <w:b w:val="0"/>
          <w:i/>
          <w:sz w:val="24"/>
        </w:rPr>
        <w:t>Cinquanta blocchi sui cinque teatri della acquisizione del capitale umano del Reich: Paperclip, Osoaviakhim, penisola iberica, Sud America, Sudafrica</w:t>
      </w:r>
    </w:p>
    <w:p>
      <w:pPr>
        <w:spacing w:line="276" w:lineRule="auto" w:after="120" w:before="0"/>
        <w:jc w:val="center"/>
      </w:pPr>
      <w:r>
        <w:rPr>
          <w:rFonts w:ascii="Times New Roman" w:hAnsi="Times New Roman" w:cs="Times New Roman" w:eastAsia="Times New Roman"/>
          <w:b w:val="0"/>
          <w:i w:val="0"/>
          <w:sz w:val="24"/>
        </w:rPr>
        <w:t>Registro Unico Federato — Sezione autonoma</w:t>
      </w:r>
    </w:p>
    <w:p>
      <w:pPr>
        <w:spacing w:line="276" w:lineRule="auto" w:after="120" w:before="0"/>
        <w:jc w:val="center"/>
      </w:pPr>
      <w:r>
        <w:rPr>
          <w:rFonts w:ascii="Times New Roman" w:hAnsi="Times New Roman" w:cs="Times New Roman" w:eastAsia="Times New Roman"/>
          <w:b/>
          <w:i w:val="0"/>
          <w:sz w:val="24"/>
        </w:rPr>
        <w:t>Luigi De Michele</w:t>
      </w:r>
    </w:p>
    <w:p>
      <w:pPr>
        <w:spacing w:line="276" w:lineRule="auto" w:after="600" w:before="0"/>
        <w:jc w:val="center"/>
      </w:pPr>
      <w:r>
        <w:rPr>
          <w:rFonts w:ascii="Times New Roman" w:hAnsi="Times New Roman" w:cs="Times New Roman" w:eastAsia="Times New Roman"/>
          <w:b w:val="0"/>
          <w:i w:val="0"/>
          <w:sz w:val="24"/>
        </w:rPr>
        <w:t>Agosto duemilaventisei</w:t>
      </w:r>
    </w:p>
    <w:p>
      <w:pPr>
        <w:spacing w:line="276" w:lineRule="auto" w:after="160" w:before="0"/>
        <w:jc w:val="center"/>
      </w:pPr>
      <w:r>
        <w:rPr>
          <w:rFonts w:ascii="Times New Roman" w:hAnsi="Times New Roman" w:cs="Times New Roman" w:eastAsia="Times New Roman"/>
          <w:b/>
          <w:i w:val="0"/>
          <w:sz w:val="24"/>
        </w:rPr>
        <w:t>Nota di edizione</w:t>
      </w:r>
    </w:p>
    <w:p>
      <w:pPr>
        <w:spacing w:line="276" w:lineRule="auto" w:after="160" w:before="0"/>
        <w:ind w:firstLine="425"/>
        <w:jc w:val="both"/>
      </w:pPr>
      <w:r>
        <w:rPr>
          <w:rFonts w:ascii="Times New Roman" w:hAnsi="Times New Roman" w:cs="Times New Roman" w:eastAsia="Times New Roman"/>
          <w:b w:val="0"/>
          <w:i w:val="0"/>
          <w:sz w:val="22"/>
        </w:rPr>
        <w:t>La presente sezione e redatta in conformita agli invarianti metodologici del progetto. Nessuna interrogazione in rete e stata effettuata: ogni proposizione deriva dalla lettura sistematica e dalla triangolazione degli allegati gia acquisiti al corpus federato. Ogni asserzione reca il proprio grado secondo il Sistema Savona; le assenze sono dichiarate secondo la Scala degli Stati Zero con indicazione della sede archivistica e della condizione di chiusura, ove enunciabili. La sezione non introduce alcuna radice genealogica non documentata e non organizza il materiale attorno ad alcuna ipotesi predeterminata, in applicazione della regola del Pollo di Popper. Il materiale religioso, metafisico ed esoterico e trattato secondo le regole stabilite dalla sezione metafisica, cui la presente si federa per riferimento e non per concatenazione fisica. Sono recepiti come vincolanti gli esiti e le quarantene delle note di verifica terza, quinta, sesta e ottava della campagna di controllo del sei agosto duemilaventisei. Per le persone viventi valgono esclusivamente i fatti pubblici documentati, con divieto di inferenza associativa.</w:t>
      </w:r>
    </w:p>
    <w:p>
      <w:r>
        <w:br w:type="page"/>
      </w:r>
    </w:p>
    <w:p>
      <w:pPr>
        <w:spacing w:line="276" w:lineRule="auto" w:after="160" w:before="240"/>
        <w:jc w:val="left"/>
      </w:pPr>
      <w:r>
        <w:rPr>
          <w:rFonts w:ascii="Times New Roman" w:hAnsi="Times New Roman" w:cs="Times New Roman" w:eastAsia="Times New Roman"/>
          <w:b/>
          <w:i w:val="0"/>
          <w:sz w:val="26"/>
        </w:rPr>
        <w:t>Blocco I — Statuto della sezione e federazione con la sezione metafisica</w:t>
      </w:r>
    </w:p>
    <w:p>
      <w:pPr>
        <w:spacing w:line="276" w:lineRule="auto" w:after="120" w:before="0"/>
        <w:ind w:firstLine="425"/>
        <w:jc w:val="both"/>
      </w:pPr>
      <w:r>
        <w:rPr>
          <w:rFonts w:ascii="Times New Roman" w:hAnsi="Times New Roman" w:cs="Times New Roman" w:eastAsia="Times New Roman"/>
          <w:b w:val="0"/>
          <w:i w:val="0"/>
          <w:sz w:val="24"/>
        </w:rPr>
        <w:t>La presente sezione federa al Registro Unico il materiale sulla diaspora nazionalsocialista postbellica gia sottoposto a verifica nelle note terza, quinta, sesta e ottava della campagna di controllo del sei agosto duemilaventisei, e vi aggiunge il teatro sovietico e quello sudafricano. La federazione avviene per riferimento e non per concatenazione fisica: le note di verifica conservano autonomia e i loro esiti sono qui recepiti come vincolanti, incluse le quarantene che esse hanno imposto.</w:t>
      </w:r>
    </w:p>
    <w:p>
      <w:pPr>
        <w:spacing w:line="276" w:lineRule="auto" w:after="120" w:before="0"/>
        <w:ind w:firstLine="425"/>
        <w:jc w:val="both"/>
      </w:pPr>
      <w:r>
        <w:rPr>
          <w:rFonts w:ascii="Times New Roman" w:hAnsi="Times New Roman" w:cs="Times New Roman" w:eastAsia="Times New Roman"/>
          <w:b w:val="0"/>
          <w:i w:val="0"/>
          <w:sz w:val="24"/>
        </w:rPr>
        <w:t>La sezione si collega alla sezione metafisica per quattro archi che il blocco quarantanovesimo espone in forma ordinata e che qui si annunciano: il nodo Guerin-Serac e la teologia della roccaforte, che nasce nell'ambiente iberico dei santuari; il nodo Barbie e il golpe boliviano del millenovecentottanta, che salda la diaspora alla generazione terzaposizionista; il nodo Gehlen, che ripropone in forma occidentale la struttura della rete capillare; e il nodo sudafricano, dove la dottrina razziale si trasferisce come corpus giuridico e non come suggestione.</w:t>
      </w:r>
    </w:p>
    <w:p>
      <w:pPr>
        <w:spacing w:line="276" w:lineRule="auto" w:after="120" w:before="0"/>
        <w:ind w:firstLine="425"/>
        <w:jc w:val="both"/>
      </w:pPr>
      <w:r>
        <w:rPr>
          <w:rFonts w:ascii="Times New Roman" w:hAnsi="Times New Roman" w:cs="Times New Roman" w:eastAsia="Times New Roman"/>
          <w:b w:val="0"/>
          <w:i w:val="0"/>
          <w:sz w:val="24"/>
        </w:rPr>
        <w:t>Va enunciata subito la delimitazione fondamentale. La sezione documenta trasferimenti di personale, di competenze e di quadri normativi; non postula alcuna continuita organizzativa unitaria fra il Terzo Reich e le strutture che ne assorbirono gli uomini. La distinzione fra continuita di persone e continuita di organizzazione e l'invariante che governa l'intera sezione, e la sua violazione produce precisamente l'errore che il blocco successivo confuta.</w:t>
      </w:r>
    </w:p>
    <w:p>
      <w:pPr>
        <w:spacing w:line="276" w:lineRule="auto" w:after="240" w:before="0"/>
        <w:ind w:firstLine="425"/>
        <w:jc w:val="both"/>
      </w:pPr>
      <w:r>
        <w:rPr>
          <w:rFonts w:ascii="Times New Roman" w:hAnsi="Times New Roman" w:cs="Times New Roman" w:eastAsia="Times New Roman"/>
          <w:b w:val="0"/>
          <w:i/>
          <w:sz w:val="22"/>
        </w:rPr>
        <w:t>Sintesi del dato nuovo acquisito: si stabilisce lo statuto federativo della sezione, si recepiscono come vincolanti gli esiti e le quarantene delle quattro note di verifica e si fissa come invariante la distinzione fra continuita di persone e continuita di organizzazione.</w:t>
      </w:r>
    </w:p>
    <w:p>
      <w:pPr>
        <w:spacing w:line="276" w:lineRule="auto" w:after="160" w:before="240"/>
        <w:jc w:val="left"/>
      </w:pPr>
      <w:r>
        <w:rPr>
          <w:rFonts w:ascii="Times New Roman" w:hAnsi="Times New Roman" w:cs="Times New Roman" w:eastAsia="Times New Roman"/>
          <w:b/>
          <w:i w:val="0"/>
          <w:sz w:val="26"/>
        </w:rPr>
        <w:t>Blocco II — Confutazione formale: la sigla unica come costruzione postuma</w:t>
      </w:r>
    </w:p>
    <w:p>
      <w:pPr>
        <w:spacing w:line="276" w:lineRule="auto" w:after="120" w:before="0"/>
        <w:ind w:firstLine="425"/>
        <w:jc w:val="both"/>
      </w:pPr>
      <w:r>
        <w:rPr>
          <w:rFonts w:ascii="Times New Roman" w:hAnsi="Times New Roman" w:cs="Times New Roman" w:eastAsia="Times New Roman"/>
          <w:b w:val="0"/>
          <w:i w:val="0"/>
          <w:sz w:val="24"/>
        </w:rPr>
        <w:t>Si registra formalmente fra le confutazioni del progetto la tesi dell'esistenza di un'organizzazione unica, monolitica e onnipotente degli ex appartenenti alle SS quale artefice della fuga postbellica.</w:t>
      </w:r>
    </w:p>
    <w:p>
      <w:pPr>
        <w:spacing w:line="276" w:lineRule="auto" w:after="120" w:before="0"/>
        <w:ind w:firstLine="425"/>
        <w:jc w:val="both"/>
      </w:pPr>
      <w:r>
        <w:rPr>
          <w:rFonts w:ascii="Times New Roman" w:hAnsi="Times New Roman" w:cs="Times New Roman" w:eastAsia="Times New Roman"/>
          <w:b w:val="0"/>
          <w:i w:val="0"/>
          <w:sz w:val="24"/>
        </w:rPr>
        <w:t xml:space="preserve">La confutazione e sostenuta dal consenso storiografico contemporaneo e dai documenti verificati, secondo cui non esistette una struttura unitaria bensi un reticolo di vie di fuga radicato in istituzioni legali: canali ecclesiastici, organismi umanitari internazionali, consolati, reti di partito nei paesi di destinazione e, dal millenovecentoquarantasette, apparati di controspionaggio alleati. Il grado della confutazione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rilievo eccede il caso. La sigla unica e attraente perche fornisce un agente unificato a una serie di fatti eterogenei, e assolve l'analista dall'onere di ricostruire ciascun canale. Ma essa produce due errori simmetrici: sopravvaluta il coordinamento, e sottovaluta la complicita istituzionale, poiche attribuisce a una struttura clandestina cio che fu reso possibile da istituzioni legali e riconosciute. La confutazione della sigla unica non riduce dunque la gravita del fenomeno: la aumenta, perche sposta la responsabilita dal clandestino all'istituzionale.</w:t>
      </w:r>
    </w:p>
    <w:p>
      <w:pPr>
        <w:spacing w:line="276" w:lineRule="auto" w:after="120" w:before="0"/>
        <w:ind w:firstLine="425"/>
        <w:jc w:val="both"/>
      </w:pPr>
      <w:r>
        <w:rPr>
          <w:rFonts w:ascii="Times New Roman" w:hAnsi="Times New Roman" w:cs="Times New Roman" w:eastAsia="Times New Roman"/>
          <w:b w:val="0"/>
          <w:i w:val="0"/>
          <w:sz w:val="24"/>
        </w:rPr>
        <w:t xml:space="preserve">La medesima cautela si estende alle sigle affini, la cui esistenza e portata sono dibattute e che vanno introdotte come oggetto storiografico controverso e non come dato accertato,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in conformita all'esito della terza nota di verifica.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registra la confutazione della sigla unica con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e si acquisisce che la sua caduta sposta la responsabilita dal piano clandestino al piano istituzionale, aggravando anziche attenuare il quadro.</w:t>
      </w:r>
    </w:p>
    <w:p>
      <w:pPr>
        <w:spacing w:line="276" w:lineRule="auto" w:after="160" w:before="240"/>
        <w:jc w:val="left"/>
      </w:pPr>
      <w:r>
        <w:rPr>
          <w:rFonts w:ascii="Times New Roman" w:hAnsi="Times New Roman" w:cs="Times New Roman" w:eastAsia="Times New Roman"/>
          <w:b/>
          <w:i w:val="0"/>
          <w:sz w:val="26"/>
        </w:rPr>
        <w:t>Blocco III — Regola di quarantena: le catene finanziarie leggendarie</w:t>
      </w:r>
    </w:p>
    <w:p>
      <w:pPr>
        <w:spacing w:line="276" w:lineRule="auto" w:after="120" w:before="0"/>
        <w:ind w:firstLine="425"/>
        <w:jc w:val="both"/>
      </w:pPr>
      <w:r>
        <w:rPr>
          <w:rFonts w:ascii="Times New Roman" w:hAnsi="Times New Roman" w:cs="Times New Roman" w:eastAsia="Times New Roman"/>
          <w:b w:val="0"/>
          <w:i w:val="0"/>
          <w:sz w:val="24"/>
        </w:rPr>
        <w:t>La sezione recepisce come vincolanti le quarantene gia disposte dalle note di verifica e le eleva a regola generale del trattamento del materiale finanziario relativo alla diaspora.</w:t>
      </w:r>
    </w:p>
    <w:p>
      <w:pPr>
        <w:spacing w:line="276" w:lineRule="auto" w:after="120" w:before="0"/>
        <w:ind w:firstLine="425"/>
        <w:jc w:val="both"/>
      </w:pPr>
      <w:r>
        <w:rPr>
          <w:rFonts w:ascii="Times New Roman" w:hAnsi="Times New Roman" w:cs="Times New Roman" w:eastAsia="Times New Roman"/>
          <w:b w:val="0"/>
          <w:i w:val="0"/>
          <w:sz w:val="24"/>
        </w:rPr>
        <w:t xml:space="preserve">Sono poste in quarantena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e non possono comparire in alcuna catena inferenziale del registro: la tesi secondo cui il tesoro depredato depositato presso la banca centrale del Reich sotto pseudonimo sarebbe stato trasferito e depositato a nome della futura first lady argentina; la tesi dell'invio in Argentina di un sommergibile carico di beni saccheggiati; la quantificazione del riciclaggio argentino in oltre un miliardo di dollari; la quantificazione in oltre un milione di franchi svizzeri dell'invio alla rete romana; la tesi secondo cui l'ufficiale austriaco stabilitosi a Madrid avrebbe addestrato il futuro leader palestinese; e la tesi dell'addestramento di milizie indonesiane da parte di ex ufficiali della marina tedesca, cronologicamente incoerente e respinta come formulata.</w:t>
      </w:r>
    </w:p>
    <w:p>
      <w:pPr>
        <w:spacing w:line="276" w:lineRule="auto" w:after="120" w:before="0"/>
        <w:ind w:firstLine="425"/>
        <w:jc w:val="both"/>
      </w:pPr>
      <w:r>
        <w:rPr>
          <w:rFonts w:ascii="Times New Roman" w:hAnsi="Times New Roman" w:cs="Times New Roman" w:eastAsia="Times New Roman"/>
          <w:b w:val="0"/>
          <w:i w:val="0"/>
          <w:sz w:val="24"/>
        </w:rPr>
        <w:t xml:space="preserve">La ragione strutturale della quarantena va enunciata perche non e moralistica ma tecnica. Le catene finanziarie leggendarie presentano una morfologia costante: quantificazione tonda, assenza di documento primario, attribuzione a un soggetto gia notorio e trasmissione per citazione successiva. Ciascuno di questi quattro tratti e riconoscibile ex ante, e la loro compresenza costituisce un marcatore diagnostico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che il registro adotta come filtro preventivo su tutto il materiale patrimoniale.</w:t>
      </w:r>
    </w:p>
    <w:p>
      <w:pPr>
        <w:spacing w:line="276" w:lineRule="auto" w:after="120" w:before="0"/>
        <w:ind w:firstLine="425"/>
        <w:jc w:val="both"/>
      </w:pPr>
      <w:r>
        <w:rPr>
          <w:rFonts w:ascii="Times New Roman" w:hAnsi="Times New Roman" w:cs="Times New Roman" w:eastAsia="Times New Roman"/>
          <w:b w:val="0"/>
          <w:i w:val="0"/>
          <w:sz w:val="24"/>
        </w:rPr>
        <w:t xml:space="preserve">Restano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utilizzabili come ordine di grandezza e non come dato, le stime del numero dei rifugiati per paese e le quantificazioni del conglomerato economico spagnolo.</w:t>
      </w:r>
    </w:p>
    <w:p>
      <w:pPr>
        <w:spacing w:line="276" w:lineRule="auto" w:after="240" w:before="0"/>
        <w:ind w:firstLine="425"/>
        <w:jc w:val="both"/>
      </w:pPr>
      <w:r>
        <w:rPr>
          <w:rFonts w:ascii="Times New Roman" w:hAnsi="Times New Roman" w:cs="Times New Roman" w:eastAsia="Times New Roman"/>
          <w:b w:val="0"/>
          <w:i/>
          <w:sz w:val="22"/>
        </w:rPr>
        <w:t>Sintesi del dato nuovo acquisito: si eleva a filtro preventivo generale il marcatore diagnostico a quattro tratti delle catene finanziarie leggendarie, e si recepiscono in quarantena sei affermazioni nominate.</w:t>
      </w:r>
    </w:p>
    <w:p>
      <w:pPr>
        <w:spacing w:line="276" w:lineRule="auto" w:after="160" w:before="240"/>
        <w:jc w:val="left"/>
      </w:pPr>
      <w:r>
        <w:rPr>
          <w:rFonts w:ascii="Times New Roman" w:hAnsi="Times New Roman" w:cs="Times New Roman" w:eastAsia="Times New Roman"/>
          <w:b/>
          <w:i w:val="0"/>
          <w:sz w:val="26"/>
        </w:rPr>
        <w:t>Blocco IV — Il criterio della simmetria: due operazioni, un solo pattern</w:t>
      </w:r>
    </w:p>
    <w:p>
      <w:pPr>
        <w:spacing w:line="276" w:lineRule="auto" w:after="120" w:before="0"/>
        <w:ind w:firstLine="425"/>
        <w:jc w:val="both"/>
      </w:pPr>
      <w:r>
        <w:rPr>
          <w:rFonts w:ascii="Times New Roman" w:hAnsi="Times New Roman" w:cs="Times New Roman" w:eastAsia="Times New Roman"/>
          <w:b w:val="0"/>
          <w:i w:val="0"/>
          <w:sz w:val="24"/>
        </w:rPr>
        <w:t>La sezione formula come propria acquisizione teorica centrale la comparazione strutturale fra l'operazione statunitense e quella sovietica di acquisizione del capitale umano tedesco.</w:t>
      </w:r>
    </w:p>
    <w:p>
      <w:pPr>
        <w:spacing w:line="276" w:lineRule="auto" w:after="120" w:before="0"/>
        <w:ind w:firstLine="425"/>
        <w:jc w:val="both"/>
      </w:pPr>
      <w:r>
        <w:rPr>
          <w:rFonts w:ascii="Times New Roman" w:hAnsi="Times New Roman" w:cs="Times New Roman" w:eastAsia="Times New Roman"/>
          <w:b w:val="0"/>
          <w:i w:val="0"/>
          <w:sz w:val="24"/>
        </w:rPr>
        <w:t>Le differenze sono reali e vanno registrate. L'operazione statunitense procedette per assimilazione contrattuale, con bonifica amministrativa dei fascicoli e naturalizzazione progressiva; quella sovietica procedette per deportazione di massa, con prelievo simultaneo, isolamento fisico e rimpatrio scaglionato dopo l'esaurimento dell'utilita. La prima produsse carriere; la seconda produsse sfruttamento seguito da espulsione.</w:t>
      </w:r>
    </w:p>
    <w:p>
      <w:pPr>
        <w:spacing w:line="276" w:lineRule="auto" w:after="120" w:before="0"/>
        <w:ind w:firstLine="425"/>
        <w:jc w:val="both"/>
      </w:pPr>
      <w:r>
        <w:rPr>
          <w:rFonts w:ascii="Times New Roman" w:hAnsi="Times New Roman" w:cs="Times New Roman" w:eastAsia="Times New Roman"/>
          <w:b w:val="0"/>
          <w:i w:val="0"/>
          <w:sz w:val="24"/>
        </w:rPr>
        <w:t>L'identita strutturale e tuttavia superiore alle differenze e si articola in cinque tratti comuni: entrambe subordinarono il criterio penale al criterio dell'utilita tecnica; entrambe operarono un aggiramento formale della propria dichiarata politica di epurazione; entrambe compartimentarono i soggetti acquisiti separandoli dal contesto decisionale; entrambe produssero sorveglianza permanente sugli acquisiti; entrambe negarono o minimizzarono pubblicamente l'operazione per decenni.</w:t>
      </w:r>
    </w:p>
    <w:p>
      <w:pPr>
        <w:spacing w:line="276" w:lineRule="auto" w:after="120" w:before="0"/>
        <w:ind w:firstLine="425"/>
        <w:jc w:val="both"/>
      </w:pPr>
      <w:r>
        <w:rPr>
          <w:rFonts w:ascii="Times New Roman" w:hAnsi="Times New Roman" w:cs="Times New Roman" w:eastAsia="Times New Roman"/>
          <w:b w:val="0"/>
          <w:i w:val="0"/>
          <w:sz w:val="24"/>
        </w:rPr>
        <w:t>La conseguenza analitica va enunciata senza attenuazioni. Il comportamento delle due superpotenze rispetto al capitale umano del Reich non si spiega con l'ideologia, poiche le ideologie erano opposte e il comportamento fu isomorfo; si spiega con la posizione strutturale, cioe con la competizione tecnologica in condizioni di monopolio conteso. Questa e la piu solida manifestazione documentata, nell'intero registro, dell'invariante della convergenza degli opposti, e va segnalato che essa non richiede alcun coordinamento fra i due attori: e convergenza emergente e non concertata, cioe arco del quarto tipo secondo la tassonomia metodologica.</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acquisiscono i cinque tratti dell'isomorfismo fra le due operazioni e si qualifica la convergenza come emergente e non concertata, in forma di arco di convergenza e non di collusione.</w:t>
      </w:r>
    </w:p>
    <w:p>
      <w:pPr>
        <w:spacing w:line="276" w:lineRule="auto" w:after="160" w:before="240"/>
        <w:jc w:val="left"/>
      </w:pPr>
      <w:r>
        <w:rPr>
          <w:rFonts w:ascii="Times New Roman" w:hAnsi="Times New Roman" w:cs="Times New Roman" w:eastAsia="Times New Roman"/>
          <w:b/>
          <w:i w:val="0"/>
          <w:sz w:val="26"/>
        </w:rPr>
        <w:t>Blocco V — Falsificatori designati della sezione</w:t>
      </w:r>
    </w:p>
    <w:p>
      <w:pPr>
        <w:spacing w:line="276" w:lineRule="auto" w:after="120" w:before="0"/>
        <w:ind w:firstLine="425"/>
        <w:jc w:val="both"/>
      </w:pPr>
      <w:r>
        <w:rPr>
          <w:rFonts w:ascii="Times New Roman" w:hAnsi="Times New Roman" w:cs="Times New Roman" w:eastAsia="Times New Roman"/>
          <w:b w:val="0"/>
          <w:i w:val="0"/>
          <w:sz w:val="24"/>
        </w:rPr>
        <w:t>In conformita alla prassi del registro si designano i falsificatori prima di svolgere l'argomento.</w:t>
      </w:r>
    </w:p>
    <w:p>
      <w:pPr>
        <w:spacing w:line="276" w:lineRule="auto" w:after="120" w:before="0"/>
        <w:ind w:firstLine="425"/>
        <w:jc w:val="both"/>
      </w:pPr>
      <w:r>
        <w:rPr>
          <w:rFonts w:ascii="Times New Roman" w:hAnsi="Times New Roman" w:cs="Times New Roman" w:eastAsia="Times New Roman"/>
          <w:b w:val="0"/>
          <w:i w:val="0"/>
          <w:sz w:val="24"/>
        </w:rPr>
        <w:t>Per l'ipotesi dell'isomorfismo fra i due programmi di acquisizione, il falsificatore designato e la dimostrazione che uno dei due abbia sistematicamente escluso i soggetti gravati da responsabilita penali documentate quando cio comportava rinuncia a competenze tecniche rilevanti. Il falsificatore non e soddisfatto: la documentazione verificata attesta in entrambi i teatri l'acquisizione di soggetti gravati.</w:t>
      </w:r>
    </w:p>
    <w:p>
      <w:pPr>
        <w:spacing w:line="276" w:lineRule="auto" w:after="120" w:before="0"/>
        <w:ind w:firstLine="425"/>
        <w:jc w:val="both"/>
      </w:pPr>
      <w:r>
        <w:rPr>
          <w:rFonts w:ascii="Times New Roman" w:hAnsi="Times New Roman" w:cs="Times New Roman" w:eastAsia="Times New Roman"/>
          <w:b w:val="0"/>
          <w:i w:val="0"/>
          <w:sz w:val="24"/>
        </w:rPr>
        <w:t>Per l'ipotesi della complicita istituzionale nelle vie di fuga, il falsificatore designato e la dimostrazione che i canali ecclesiastici, umanitari e consolari abbiano operato all'insaputa delle proprie istituzioni e in violazione delle rispettive procedure interne. Il falsificatore e allo stato parzialmente soddisfatto per alcune componenti e non soddisfatto per altre, e la sezione ne dara conto in sede propria senza uniformare i casi.</w:t>
      </w:r>
    </w:p>
    <w:p>
      <w:pPr>
        <w:spacing w:line="276" w:lineRule="auto" w:after="120" w:before="0"/>
        <w:ind w:firstLine="425"/>
        <w:jc w:val="both"/>
      </w:pPr>
      <w:r>
        <w:rPr>
          <w:rFonts w:ascii="Times New Roman" w:hAnsi="Times New Roman" w:cs="Times New Roman" w:eastAsia="Times New Roman"/>
          <w:b w:val="0"/>
          <w:i w:val="0"/>
          <w:sz w:val="24"/>
        </w:rPr>
        <w:t>Per l'ipotesi della continuita fra diaspora e reti eversive europee successive, il falsificatore designato e la dimostrazione che i contatti documentati siano riconducibili a coappartenenza ambientale senza trasmissione di risorse, competenze o protezioni. Il falsificatore e soddisfatto in alcuni casi, e il registro li dichiarera, in applicazione della distinzione fra derivazione e coappartenenza gia formalizzata nella sezione metafisica.</w:t>
      </w:r>
    </w:p>
    <w:p>
      <w:pPr>
        <w:spacing w:line="276" w:lineRule="auto" w:after="240" w:before="0"/>
        <w:ind w:firstLine="425"/>
        <w:jc w:val="both"/>
      </w:pPr>
      <w:r>
        <w:rPr>
          <w:rFonts w:ascii="Times New Roman" w:hAnsi="Times New Roman" w:cs="Times New Roman" w:eastAsia="Times New Roman"/>
          <w:b w:val="0"/>
          <w:i/>
          <w:sz w:val="22"/>
        </w:rPr>
        <w:t>Sintesi del dato nuovo acquisito: si designano tre falsificatori per la sezione, di cui uno non soddisfatto, uno parzialmente soddisfatto e uno soddisfatto in casi determinati, con obbligo di dichiarazione caso per caso.</w:t>
      </w:r>
    </w:p>
    <w:p>
      <w:pPr>
        <w:spacing w:line="276" w:lineRule="auto" w:after="160" w:before="240"/>
        <w:jc w:val="left"/>
      </w:pPr>
      <w:r>
        <w:rPr>
          <w:rFonts w:ascii="Times New Roman" w:hAnsi="Times New Roman" w:cs="Times New Roman" w:eastAsia="Times New Roman"/>
          <w:b/>
          <w:i w:val="0"/>
          <w:sz w:val="26"/>
        </w:rPr>
        <w:t>Blocco VI — La genesi dell'operazione statunitense</w:t>
      </w:r>
    </w:p>
    <w:p>
      <w:pPr>
        <w:spacing w:line="276" w:lineRule="auto" w:after="120" w:before="0"/>
        <w:ind w:firstLine="425"/>
        <w:jc w:val="both"/>
      </w:pPr>
      <w:r>
        <w:rPr>
          <w:rFonts w:ascii="Times New Roman" w:hAnsi="Times New Roman" w:cs="Times New Roman" w:eastAsia="Times New Roman"/>
          <w:b w:val="0"/>
          <w:i w:val="0"/>
          <w:sz w:val="24"/>
        </w:rPr>
        <w:t xml:space="preserve">L'operazione fu decisa dal comando militare congiunto nel luglio del millenovecentoquarantacinque con una prima denominazione in codice successivamente mutata, e fu gestita dall'agenzia interforze per gli obiettivi d'informazione con il concorso del corpo di controspionaggio dell'esercito. Oltre milleseicento specialisti furono trasferiti fra il millenovecentoquarantacinque e il millenovecentocinquantanove.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con la correzione di data gia disposta dalla sesta nota di verifica: la designazione iniziale cade il diciannove e non il venti luglio.</w:t>
      </w:r>
    </w:p>
    <w:p>
      <w:pPr>
        <w:spacing w:line="276" w:lineRule="auto" w:after="120" w:before="0"/>
        <w:ind w:firstLine="425"/>
        <w:jc w:val="both"/>
      </w:pPr>
      <w:r>
        <w:rPr>
          <w:rFonts w:ascii="Times New Roman" w:hAnsi="Times New Roman" w:cs="Times New Roman" w:eastAsia="Times New Roman"/>
          <w:b w:val="0"/>
          <w:i w:val="0"/>
          <w:sz w:val="24"/>
        </w:rPr>
        <w:t>L'obiettivo dichiarato era duplice: sfruttare le competenze tecniche tedesche per lo sforzo ancora in corso nel teatro del Pacifico e prevenirne l'acquisizione da parte sovietica. Il secondo obiettivo divenne rapidamente prevalente e sopravvisse alla cessazione del primo, il che documenta che la ratio operativa non fu bellica ma competitiva.</w:t>
      </w:r>
    </w:p>
    <w:p>
      <w:pPr>
        <w:spacing w:line="276" w:lineRule="auto" w:after="120" w:before="0"/>
        <w:ind w:firstLine="425"/>
        <w:jc w:val="both"/>
      </w:pPr>
      <w:r>
        <w:rPr>
          <w:rFonts w:ascii="Times New Roman" w:hAnsi="Times New Roman" w:cs="Times New Roman" w:eastAsia="Times New Roman"/>
          <w:b w:val="0"/>
          <w:i w:val="0"/>
          <w:sz w:val="24"/>
        </w:rPr>
        <w:t xml:space="preserve">Il gruppo missilistico di Peenemunde, composto da centoventisette specialisti, fu trasferito a Fort Bliss e successivamente a Huntsville.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Va registrato come elemento strutturale che l'operazione non fu concepita come amnistia ma come acquisizione: nessuna valutazione delle responsabilita individuali precedette il trasferimento, e la valutazione, ove intervenne, fu successiva e strumentale all'obiettivo. La sequenza inversa fra acquisizione e valutazione e il tratto che determina tutto quanto segue.</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che la ratio dell'operazione statunitense fu competitiva e non bellica, sopravvivendo alla cessazione dell'obiettivo dichiarato, e che l'acquisizione precedette strutturalmente ogni valutazione di responsabilita.</w:t>
      </w:r>
    </w:p>
    <w:p>
      <w:pPr>
        <w:spacing w:line="276" w:lineRule="auto" w:after="160" w:before="240"/>
        <w:jc w:val="left"/>
      </w:pPr>
      <w:r>
        <w:rPr>
          <w:rFonts w:ascii="Times New Roman" w:hAnsi="Times New Roman" w:cs="Times New Roman" w:eastAsia="Times New Roman"/>
          <w:b/>
          <w:i w:val="0"/>
          <w:sz w:val="26"/>
        </w:rPr>
        <w:t>Blocco VII — La bonifica dei fascicoli e l'aggiramento del divieto</w:t>
      </w:r>
    </w:p>
    <w:p>
      <w:pPr>
        <w:spacing w:line="276" w:lineRule="auto" w:after="120" w:before="0"/>
        <w:ind w:firstLine="425"/>
        <w:jc w:val="both"/>
      </w:pPr>
      <w:r>
        <w:rPr>
          <w:rFonts w:ascii="Times New Roman" w:hAnsi="Times New Roman" w:cs="Times New Roman" w:eastAsia="Times New Roman"/>
          <w:b w:val="0"/>
          <w:i w:val="0"/>
          <w:sz w:val="24"/>
        </w:rPr>
        <w:t xml:space="preserve">Il divieto presidenziale di reclutare nazisti attivi fu aggirato mediante la revisione amministrativa dei fascicoli personali, operazione da cui deriva il nome stesso dell'operazione attraverso l'oggetto metallico usato per segnalare i dossier rielaborati, con il concorso dell'ufficio investigativo federale.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meccanismo merita descrizione precisa perche costituisce l'esemplare piu documentato, nell'intero registro, di una tecnica ricorrente: la conformita formale ottenuta mediante alterazione della base documentale anziche mediante mutamento della condotta. Il divieto non fu abrogato, non fu discusso e non fu violato apertamente; fu reso inapplicabile modificando i fatti su cui avrebbe dovuto operare.</w:t>
      </w:r>
    </w:p>
    <w:p>
      <w:pPr>
        <w:spacing w:line="276" w:lineRule="auto" w:after="120" w:before="0"/>
        <w:ind w:firstLine="425"/>
        <w:jc w:val="both"/>
      </w:pPr>
      <w:r>
        <w:rPr>
          <w:rFonts w:ascii="Times New Roman" w:hAnsi="Times New Roman" w:cs="Times New Roman" w:eastAsia="Times New Roman"/>
          <w:b w:val="0"/>
          <w:i w:val="0"/>
          <w:sz w:val="24"/>
        </w:rPr>
        <w:t xml:space="preserve">Ne discende un criterio diagnostico di portata generale che il registro adotta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quando una politica dichiarata resta formalmente in vigore mentre la condotta reale la contraddice sistematicamente, l'ipotesi da privilegiare non e la violazione ma la manipolazione della base di applicazione, e la ricerca va indirizzata sui documenti di qualificazione anziche sugli atti di condotta.</w:t>
      </w:r>
    </w:p>
    <w:p>
      <w:pPr>
        <w:spacing w:line="276" w:lineRule="auto" w:after="120" w:before="0"/>
        <w:ind w:firstLine="425"/>
        <w:jc w:val="both"/>
      </w:pPr>
      <w:r>
        <w:rPr>
          <w:rFonts w:ascii="Times New Roman" w:hAnsi="Times New Roman" w:cs="Times New Roman" w:eastAsia="Times New Roman"/>
          <w:b w:val="0"/>
          <w:i w:val="0"/>
          <w:sz w:val="24"/>
        </w:rPr>
        <w:t>Il criterio ha immediata applicazione retroattiva su piu sezioni del registro, e in particolare sui materiali relativi alla qualificazione delle schede informative e alla loro alterazione, gia acquisiti al corpus in altro contesto.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formalizza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criterio diagnostico della conformita formale ottenuta per manipolazione della base documentale, con indicazione operativa di indirizzare la ricerca sui documenti di qualificazione anziche sugli atti di condotta.</w:t>
      </w:r>
    </w:p>
    <w:p>
      <w:pPr>
        <w:spacing w:line="276" w:lineRule="auto" w:after="160" w:before="240"/>
        <w:jc w:val="left"/>
      </w:pPr>
      <w:r>
        <w:rPr>
          <w:rFonts w:ascii="Times New Roman" w:hAnsi="Times New Roman" w:cs="Times New Roman" w:eastAsia="Times New Roman"/>
          <w:b/>
          <w:i w:val="0"/>
          <w:sz w:val="26"/>
        </w:rPr>
        <w:t>Blocco VIII — Le figure apicali del programma missilistico</w:t>
      </w:r>
    </w:p>
    <w:p>
      <w:pPr>
        <w:spacing w:line="276" w:lineRule="auto" w:after="120" w:before="0"/>
        <w:ind w:firstLine="425"/>
        <w:jc w:val="both"/>
      </w:pPr>
      <w:r>
        <w:rPr>
          <w:rFonts w:ascii="Times New Roman" w:hAnsi="Times New Roman" w:cs="Times New Roman" w:eastAsia="Times New Roman"/>
          <w:b w:val="0"/>
          <w:i w:val="0"/>
          <w:sz w:val="24"/>
        </w:rPr>
        <w:t xml:space="preserve">Le figure apicali reggono una per una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secondo l'esito della sesta nota di verifica, e vanno registrate con i loro elementi qualificanti.</w:t>
      </w:r>
    </w:p>
    <w:p>
      <w:pPr>
        <w:spacing w:line="276" w:lineRule="auto" w:after="120" w:before="0"/>
        <w:ind w:firstLine="425"/>
        <w:jc w:val="both"/>
      </w:pPr>
      <w:r>
        <w:rPr>
          <w:rFonts w:ascii="Times New Roman" w:hAnsi="Times New Roman" w:cs="Times New Roman" w:eastAsia="Times New Roman"/>
          <w:b w:val="0"/>
          <w:i w:val="0"/>
          <w:sz w:val="24"/>
        </w:rPr>
        <w:t>Wernher von Braun, iscritto al partito nel millenovecentotrentasette e ufficiale delle SS, consapevole dell'impiego di lavoro schiavo presso la fabbrica sotterranea del Mittelwerk, divenne figura centrale del programma lunare statunitense. Arthur Rudolph, direttore della produzione dei razzi e successivamente responsabile del vettore lunare, iscritto al partito fin dal millenovecentotrentuno e capitano delle SS, nel millenovecentottantaquattro, sotto inchiesta dell'ufficio per le indagini speciali, rinuncio alla cittadinanza e lascio gli Stati Uniti. Kurt Debus, ufficiale delle SS, fu primo direttore del centro spaziale della Florida. Walter Dornberger, comandante di Peenemunde, fu detenuto in Gran Bretagna e divenne poi vicepresidente di una societa aeronautica.</w:t>
      </w:r>
    </w:p>
    <w:p>
      <w:pPr>
        <w:spacing w:line="276" w:lineRule="auto" w:after="120" w:before="0"/>
        <w:ind w:firstLine="425"/>
        <w:jc w:val="both"/>
      </w:pPr>
      <w:r>
        <w:rPr>
          <w:rFonts w:ascii="Times New Roman" w:hAnsi="Times New Roman" w:cs="Times New Roman" w:eastAsia="Times New Roman"/>
          <w:b w:val="0"/>
          <w:i w:val="0"/>
          <w:sz w:val="24"/>
        </w:rPr>
        <w:t xml:space="preserve">Il dato di maggiore rendimento analitico non e la biografia dei singoli ma la struttura della sequenza. La responsabilita non fu accertata, negata o assolta: fu differita. Nel caso Rudolph l'accertamento intervenne quarant'anni dopo, quando la competenza tecnica era esaurita e il costo politico dell'inchiesta era divenuto sostenibile. 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l'ipotesi che l'attivazione dell'accertamento sia funzione inversa dell'utilita residua del soggetto, e ne designa il falsificatore nella dimostrazione che gli accertamenti si distribuiscano indipendentemente dalla cessazione dell'impiego.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l'ipotesi del differimento dell'accertamento in funzione inversa dell'utilita residua del soggetto, con falsificatore designato e caso esemplare documentato.</w:t>
      </w:r>
    </w:p>
    <w:p>
      <w:pPr>
        <w:spacing w:line="276" w:lineRule="auto" w:after="160" w:before="240"/>
        <w:jc w:val="left"/>
      </w:pPr>
      <w:r>
        <w:rPr>
          <w:rFonts w:ascii="Times New Roman" w:hAnsi="Times New Roman" w:cs="Times New Roman" w:eastAsia="Times New Roman"/>
          <w:b/>
          <w:i w:val="0"/>
          <w:sz w:val="26"/>
        </w:rPr>
        <w:t>Blocco IX — Georg Rickhey: l'unico processato e l'assoluzione</w:t>
      </w:r>
    </w:p>
    <w:p>
      <w:pPr>
        <w:spacing w:line="276" w:lineRule="auto" w:after="120" w:before="0"/>
        <w:ind w:firstLine="425"/>
        <w:jc w:val="both"/>
      </w:pPr>
      <w:r>
        <w:rPr>
          <w:rFonts w:ascii="Times New Roman" w:hAnsi="Times New Roman" w:cs="Times New Roman" w:eastAsia="Times New Roman"/>
          <w:b w:val="0"/>
          <w:i w:val="0"/>
          <w:sz w:val="24"/>
        </w:rPr>
        <w:t xml:space="preserve">Georg Rickhey risulta l'unico scienziato del programma a essere stato processato per crimini di guerra, nel procedimento relativo al campo di Dora, e fu assolto.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nodo e conservato per obbligo di contrasto interno e ha rendimento superiore alla sua apparente marginalita. Un solo processo su oltre milleseicento trasferimenti, conclusosi con assoluzione, non e dato che consenta inferenze sulla colpevolezza degli altri, in nessuna delle due direzioni. Consente invece un'inferenza sulla struttura: attesta che il canale giudiziario esisteva e non fu utilizzato, il che e proposizione diversa e piu forte dell'affermazione che non fosse disponibile.</w:t>
      </w:r>
    </w:p>
    <w:p>
      <w:pPr>
        <w:spacing w:line="276" w:lineRule="auto" w:after="120" w:before="0"/>
        <w:ind w:firstLine="425"/>
        <w:jc w:val="both"/>
      </w:pPr>
      <w:r>
        <w:rPr>
          <w:rFonts w:ascii="Times New Roman" w:hAnsi="Times New Roman" w:cs="Times New Roman" w:eastAsia="Times New Roman"/>
          <w:b w:val="0"/>
          <w:i w:val="0"/>
          <w:sz w:val="24"/>
        </w:rPr>
        <w:t>La distinzione fra canale inesistente e canale disponibile non attivato e formalizzata qui e ha portata generale nel registro. Essa converte l'assenza di procedimenti da lacuna documentale in scelta istituzionale documentabile, e sposta la questione dalla capacita alla volonta.</w:t>
      </w:r>
    </w:p>
    <w:p>
      <w:pPr>
        <w:spacing w:line="276" w:lineRule="auto" w:after="120" w:before="0"/>
        <w:ind w:firstLine="425"/>
        <w:jc w:val="both"/>
      </w:pPr>
      <w:r>
        <w:rPr>
          <w:rFonts w:ascii="Times New Roman" w:hAnsi="Times New Roman" w:cs="Times New Roman" w:eastAsia="Times New Roman"/>
          <w:b w:val="0"/>
          <w:i w:val="0"/>
          <w:sz w:val="24"/>
        </w:rPr>
        <w:t>Il registro segnala che l'esito assolutorio va registrato come tale e che nessuna trattazione ulteriore del soggetto in chiave attributiva e ammessa, in applicazione della disciplina generale sulle assoluzioni gia stabilita nella sezione metafisica.</w:t>
      </w:r>
    </w:p>
    <w:p>
      <w:pPr>
        <w:spacing w:line="276" w:lineRule="auto" w:after="240" w:before="0"/>
        <w:ind w:firstLine="425"/>
        <w:jc w:val="both"/>
      </w:pPr>
      <w:r>
        <w:rPr>
          <w:rFonts w:ascii="Times New Roman" w:hAnsi="Times New Roman" w:cs="Times New Roman" w:eastAsia="Times New Roman"/>
          <w:b w:val="0"/>
          <w:i/>
          <w:sz w:val="22"/>
        </w:rPr>
        <w:t>Sintesi del dato nuovo acquisito: si formalizza la distinzione fra canale giudiziario inesistente e canale disponibile non attivato, che converte l'assenza di procedimenti in scelta istituzionale documentabile.</w:t>
      </w:r>
    </w:p>
    <w:p>
      <w:pPr>
        <w:spacing w:line="276" w:lineRule="auto" w:after="160" w:before="240"/>
        <w:jc w:val="left"/>
      </w:pPr>
      <w:r>
        <w:rPr>
          <w:rFonts w:ascii="Times New Roman" w:hAnsi="Times New Roman" w:cs="Times New Roman" w:eastAsia="Times New Roman"/>
          <w:b/>
          <w:i w:val="0"/>
          <w:sz w:val="26"/>
        </w:rPr>
        <w:t>Blocco X — Hubertus Strughold e la revoca differita degli onori</w:t>
      </w:r>
    </w:p>
    <w:p>
      <w:pPr>
        <w:spacing w:line="276" w:lineRule="auto" w:after="120" w:before="0"/>
        <w:ind w:firstLine="425"/>
        <w:jc w:val="both"/>
      </w:pPr>
      <w:r>
        <w:rPr>
          <w:rFonts w:ascii="Times New Roman" w:hAnsi="Times New Roman" w:cs="Times New Roman" w:eastAsia="Times New Roman"/>
          <w:b w:val="0"/>
          <w:i w:val="0"/>
          <w:sz w:val="24"/>
        </w:rPr>
        <w:t xml:space="preserve">Hubertus Strughold, gia a capo dell'istituto aeromedico della forza aerea del Reich, i cui sottoposti condussero esperimenti mortali presso il campo di Dachau, fu accolto in Texas e vi fu qualificato come padre della medicina spaziale. Gli onori a lui intestati furono revocati in due momenti distinti, che la sesta nota di verifica impone di non accorpare: la biblioteca fu rinominata nel millenovecentonovantacinque e la rimozione dalla galleria spaziale intervenne nel duemilasei.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nodo documenta un fenomeno che la sezione qualifica come revoca differita e che presenta struttura propria. Il riconoscimento pubblico fu conferito quando i fatti erano gia noti agli apparati che lo conferirono; la revoca intervenne non a seguito di nuove acquisizioni documentali ma a seguito di mutamento della soglia di tollerabilita pubblica. La variabile che spiega la revoca non e dunque epistemica ma sociale.</w:t>
      </w:r>
    </w:p>
    <w:p>
      <w:pPr>
        <w:spacing w:line="276" w:lineRule="auto" w:after="120" w:before="0"/>
        <w:ind w:firstLine="425"/>
        <w:jc w:val="both"/>
      </w:pPr>
      <w:r>
        <w:rPr>
          <w:rFonts w:ascii="Times New Roman" w:hAnsi="Times New Roman" w:cs="Times New Roman" w:eastAsia="Times New Roman"/>
          <w:b w:val="0"/>
          <w:i w:val="0"/>
          <w:sz w:val="24"/>
        </w:rPr>
        <w:t>La conseguenza per il metodo va enunciata. La cronologia degli onori e delle loro revoche non e indicatore dello stato della conoscenza ma dello stato della accettabilita, e va usata come misura del secondo e mai come misura del primo. L'errore inverso, ricorrente nella pubblicistica, consiste nel dedurre dalla data della revoca la data della scoperta.</w:t>
      </w:r>
    </w:p>
    <w:p>
      <w:pPr>
        <w:spacing w:line="276" w:lineRule="auto" w:after="120" w:before="0"/>
        <w:ind w:firstLine="425"/>
        <w:jc w:val="both"/>
      </w:pPr>
      <w:r>
        <w:rPr>
          <w:rFonts w:ascii="Times New Roman" w:hAnsi="Times New Roman" w:cs="Times New Roman" w:eastAsia="Times New Roman"/>
          <w:b w:val="0"/>
          <w:i w:val="0"/>
          <w:sz w:val="24"/>
        </w:rPr>
        <w:t xml:space="preserve">Il capitolo medico comprende inoltre Walter Schreiber, complice degli esperimenti condotti presso il campo di Ravensbruck, giunto alla scuola di medicina aeronautica nel millenovecentocinquantuno.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 il suo esito e trattato al blocco seguente.</w:t>
      </w:r>
    </w:p>
    <w:p>
      <w:pPr>
        <w:spacing w:line="276" w:lineRule="auto" w:after="240" w:before="0"/>
        <w:ind w:firstLine="425"/>
        <w:jc w:val="both"/>
      </w:pPr>
      <w:r>
        <w:rPr>
          <w:rFonts w:ascii="Times New Roman" w:hAnsi="Times New Roman" w:cs="Times New Roman" w:eastAsia="Times New Roman"/>
          <w:b w:val="0"/>
          <w:i/>
          <w:sz w:val="22"/>
        </w:rPr>
        <w:t>Sintesi del dato nuovo acquisito: si qualifica la revoca differita degli onori come indicatore della soglia di accettabilita pubblica e non dello stato della conoscenza, con divieto di dedurre dalla data della revoca la data dell'accertamento.</w:t>
      </w:r>
    </w:p>
    <w:p>
      <w:pPr>
        <w:spacing w:line="276" w:lineRule="auto" w:after="160" w:before="240"/>
        <w:jc w:val="left"/>
      </w:pPr>
      <w:r>
        <w:rPr>
          <w:rFonts w:ascii="Times New Roman" w:hAnsi="Times New Roman" w:cs="Times New Roman" w:eastAsia="Times New Roman"/>
          <w:b/>
          <w:i w:val="0"/>
          <w:sz w:val="26"/>
        </w:rPr>
        <w:t>Blocco XI — Walter Schreiber e il riflusso verso il santuario sudamericano</w:t>
      </w:r>
    </w:p>
    <w:p>
      <w:pPr>
        <w:spacing w:line="276" w:lineRule="auto" w:after="120" w:before="0"/>
        <w:ind w:firstLine="425"/>
        <w:jc w:val="both"/>
      </w:pPr>
      <w:r>
        <w:rPr>
          <w:rFonts w:ascii="Times New Roman" w:hAnsi="Times New Roman" w:cs="Times New Roman" w:eastAsia="Times New Roman"/>
          <w:b w:val="0"/>
          <w:i w:val="0"/>
          <w:sz w:val="24"/>
        </w:rPr>
        <w:t xml:space="preserve">Denunciato dalla stampa, Walter Schreiber fu fatto espatriare in Argentina con l'assistenza dell'apparato statunitense e lungo le vie di fuga gia operative.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nodo e di rilievo strutturale eccezionale e va enunciato con precisione, perche costituisce il punto in cui i due teatri della sezione si toccano materialmente e non per analogia. La medesima infrastruttura di esfiltrazione che aveva condotto i fuggiaschi dall'Europa al Sudamerica fu utilizzata in direzione inversa rispetto al flusso principale, per allontanare dal territorio statunitense un soggetto divenuto politicamente insostenibile.</w:t>
      </w:r>
    </w:p>
    <w:p>
      <w:pPr>
        <w:spacing w:line="276" w:lineRule="auto" w:after="120" w:before="0"/>
        <w:ind w:firstLine="425"/>
        <w:jc w:val="both"/>
      </w:pPr>
      <w:r>
        <w:rPr>
          <w:rFonts w:ascii="Times New Roman" w:hAnsi="Times New Roman" w:cs="Times New Roman" w:eastAsia="Times New Roman"/>
          <w:b w:val="0"/>
          <w:i w:val="0"/>
          <w:sz w:val="24"/>
        </w:rPr>
        <w:t>Ne discendono due acquisizioni. La prima e che l'infrastruttura non fu strumento della fuga dalla giustizia soltanto, ma dispositivo di gestione del personale compromesso, utilizzabile da chi lo controllava per finalita amministrative proprie. La seconda e che il santuario sudamericano non fu spazio esterno agli apparati occidentali bensi loro risorsa disponibile, il che modifica la qualificazione dell'intero teatro trattato nella quinta sezione.</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il santuario funzionava come valvola di scarico del sistema di acquisizione, e ne designa il falsificatore nella dimostrazione che i casi di espatrio assistito siano riconducibili a iniziativa individuale dei soggetti senza concorso di apparato.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che l'infrastruttura di esfiltrazione funziono anche come dispositivo amministrativo di gestione del personale compromesso, e si riqualifica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santuario sudamericano come risorsa disponibile degli apparati occidentali anziche spazio a essi esterno.</w:t>
      </w:r>
    </w:p>
    <w:p>
      <w:pPr>
        <w:spacing w:line="276" w:lineRule="auto" w:after="160" w:before="240"/>
        <w:jc w:val="left"/>
      </w:pPr>
      <w:r>
        <w:rPr>
          <w:rFonts w:ascii="Times New Roman" w:hAnsi="Times New Roman" w:cs="Times New Roman" w:eastAsia="Times New Roman"/>
          <w:b/>
          <w:i w:val="0"/>
          <w:sz w:val="26"/>
        </w:rPr>
        <w:t>Blocco XII — Klaus Barbie informatore: la macchina protegge anche il puro criminale</w:t>
      </w:r>
    </w:p>
    <w:p>
      <w:pPr>
        <w:spacing w:line="276" w:lineRule="auto" w:after="120" w:before="0"/>
        <w:ind w:firstLine="425"/>
        <w:jc w:val="both"/>
      </w:pPr>
      <w:r>
        <w:rPr>
          <w:rFonts w:ascii="Times New Roman" w:hAnsi="Times New Roman" w:cs="Times New Roman" w:eastAsia="Times New Roman"/>
          <w:b w:val="0"/>
          <w:i w:val="0"/>
          <w:sz w:val="24"/>
        </w:rPr>
        <w:t xml:space="preserve">Klaus Barbie, capo della Gestapo a Lione, compare nei fascicoli declassificati non come scienziato ma come informatore del controspionaggio militare statunitense, reclutato nell'aprile del millenovecentoquarantasette.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nodo e decisivo per l'economia della sezione perche falsifica l'attenuante piu ricorrente nella pubblicistica difensiva, secondo cui l'acquisizione riguardo competenze tecniche insostituibili e fu percio dettata da necessita. Barbie non possedeva alcuna competenza tecnica: possedeva competenza repressiva e reti informative. La sua acquisizione dimostra che il criterio operante non era la specificita della competenza scientifica ma l'utilita nella competizione in corso, categoria assai piu ampia.</w:t>
      </w:r>
    </w:p>
    <w:p>
      <w:pPr>
        <w:spacing w:line="276" w:lineRule="auto" w:after="120" w:before="0"/>
        <w:ind w:firstLine="425"/>
        <w:jc w:val="both"/>
      </w:pPr>
      <w:r>
        <w:rPr>
          <w:rFonts w:ascii="Times New Roman" w:hAnsi="Times New Roman" w:cs="Times New Roman" w:eastAsia="Times New Roman"/>
          <w:b w:val="0"/>
          <w:i w:val="0"/>
          <w:sz w:val="24"/>
        </w:rPr>
        <w:t>Ne discende una riqualificazione dell'oggetto della sezione. Non si documenta un programma scientifico con effetti collaterali, bensi una politica di acquisizione del capitale umano del Reich in tutte le sue specializzazioni, di cui il versante scientifico costituisce la componente piu visibile e la piu facilmente giustificabile ex post.</w:t>
      </w:r>
    </w:p>
    <w:p>
      <w:pPr>
        <w:spacing w:line="276" w:lineRule="auto" w:after="120" w:before="0"/>
        <w:ind w:firstLine="425"/>
        <w:jc w:val="both"/>
      </w:pPr>
      <w:r>
        <w:rPr>
          <w:rFonts w:ascii="Times New Roman" w:hAnsi="Times New Roman" w:cs="Times New Roman" w:eastAsia="Times New Roman"/>
          <w:b w:val="0"/>
          <w:i w:val="0"/>
          <w:sz w:val="24"/>
        </w:rPr>
        <w:t xml:space="preserve">Il seguito della vicenda e trattato al blocco trentaseiesimo e chiude il cerchio con il teatro sudamericano: esfiltrazione in Bolivia sotto falso nome, consulenza alle milizie, implicazione nel golpe del millenovecentottanta, arresto nel millenovecentottantatre, estradizione, condanna all'ergastolo per crimini contro l'umanita, e scuse ufficiali dell'amministrazione statunitense alla Francia sulla scorta dell'indagine condotta dal procuratore incaricato.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240" w:before="0"/>
        <w:ind w:firstLine="425"/>
        <w:jc w:val="both"/>
      </w:pPr>
      <w:r>
        <w:rPr>
          <w:rFonts w:ascii="Times New Roman" w:hAnsi="Times New Roman" w:cs="Times New Roman" w:eastAsia="Times New Roman"/>
          <w:b w:val="0"/>
          <w:i/>
          <w:sz w:val="22"/>
        </w:rPr>
        <w:t>Sintesi del dato nuovo acquisito: si falsifica l'attenuante della necessita tecnica mediante il caso di un soggetto privo di competenze scientifiche, e si riqualifica l'oggetto della sezione come politica generale di acquisizione del capitale umano e non come programma scientifico.</w:t>
      </w:r>
    </w:p>
    <w:p>
      <w:pPr>
        <w:spacing w:line="276" w:lineRule="auto" w:after="160" w:before="240"/>
        <w:jc w:val="left"/>
      </w:pPr>
      <w:r>
        <w:rPr>
          <w:rFonts w:ascii="Times New Roman" w:hAnsi="Times New Roman" w:cs="Times New Roman" w:eastAsia="Times New Roman"/>
          <w:b/>
          <w:i w:val="0"/>
          <w:sz w:val="26"/>
        </w:rPr>
        <w:t>Blocco XIII — Osoaviakhim: il prelievo del ventidue ottobre millenovecentoquarantasei</w:t>
      </w:r>
    </w:p>
    <w:p>
      <w:pPr>
        <w:spacing w:line="276" w:lineRule="auto" w:after="120" w:before="0"/>
        <w:ind w:firstLine="425"/>
        <w:jc w:val="both"/>
      </w:pPr>
      <w:r>
        <w:rPr>
          <w:rFonts w:ascii="Times New Roman" w:hAnsi="Times New Roman" w:cs="Times New Roman" w:eastAsia="Times New Roman"/>
          <w:b w:val="0"/>
          <w:i w:val="0"/>
          <w:sz w:val="24"/>
        </w:rPr>
        <w:t xml:space="preserve">Nelle prime ore del ventidue ottobre millenovecentoquarantasei circa duemilacinquecento specialisti tedeschi, per un totale superiore a seimila persone comprendendo i familiari, furono prelevati dalle abitazioni nella zona di occupazione sovietica e trasferiti su novantadue convogli ferroviari verso centri di ricerca in Unione Sovietica.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La ripartizione ministeriale documentata attesta la natura pianificata dell'operazione: milletrecentottantacinque specialisti destinati al ministero dell'industria aeronautica, cinquecentoquindici al ministero degli armamenti, trecentocinquantotto al ministero dell'industria delle telecomunicazioni, ottantuno al ministero dell'industria chimica e sessantadue al ministero delle costruzioni navali.</w:t>
      </w:r>
    </w:p>
    <w:p>
      <w:pPr>
        <w:spacing w:line="276" w:lineRule="auto" w:after="120" w:before="0"/>
        <w:ind w:firstLine="425"/>
        <w:jc w:val="both"/>
      </w:pPr>
      <w:r>
        <w:rPr>
          <w:rFonts w:ascii="Times New Roman" w:hAnsi="Times New Roman" w:cs="Times New Roman" w:eastAsia="Times New Roman"/>
          <w:b w:val="0"/>
          <w:i w:val="0"/>
          <w:sz w:val="24"/>
        </w:rPr>
        <w:t>Il coordinamento fu affidato a Ivan Serov, capo della sicurezza dell'amministrazione militare sovietica in Germania, in stretto collegamento con Lavrentij Berija. La simultaneita del prelievo, condotto in un'unica notte su un territorio esteso, e essa stessa dato analitico: attesta capacita di censimento preventivo del personale bersaglio, e dunque un'attivita di schedatura anteriore di mesi all'operazione.</w:t>
      </w:r>
    </w:p>
    <w:p>
      <w:pPr>
        <w:spacing w:line="276" w:lineRule="auto" w:after="120" w:before="0"/>
        <w:ind w:firstLine="425"/>
        <w:jc w:val="both"/>
      </w:pPr>
      <w:r>
        <w:rPr>
          <w:rFonts w:ascii="Times New Roman" w:hAnsi="Times New Roman" w:cs="Times New Roman" w:eastAsia="Times New Roman"/>
          <w:b w:val="0"/>
          <w:i w:val="0"/>
          <w:sz w:val="24"/>
        </w:rPr>
        <w:t>Il registro segnala come acquisizione derivata che l'esistenza di tale schedatura preventiva implica una fase informativa distinta e precedente, la cui documentazione costituisce Stato Zero con sede archivistica determinata negli archivi dell'apparato di sicurezza sovietico e condizione di apertura non enunciabile allo stato.</w:t>
      </w:r>
    </w:p>
    <w:p>
      <w:pPr>
        <w:spacing w:line="276" w:lineRule="auto" w:after="240" w:before="0"/>
        <w:ind w:firstLine="425"/>
        <w:jc w:val="both"/>
      </w:pPr>
      <w:r>
        <w:rPr>
          <w:rFonts w:ascii="Times New Roman" w:hAnsi="Times New Roman" w:cs="Times New Roman" w:eastAsia="Times New Roman"/>
          <w:b w:val="0"/>
          <w:i/>
          <w:sz w:val="22"/>
        </w:rPr>
        <w:t>Sintesi del dato nuovo acquisito: si deduce dalla simultaneita del prelievo l'esistenza di una fase di schedatura preventiva distinta e anteriore, e la si iscrive come Stato Zero con sede determinata e condizione di apertura non enunciabile.</w:t>
      </w:r>
    </w:p>
    <w:p>
      <w:pPr>
        <w:spacing w:line="276" w:lineRule="auto" w:after="160" w:before="240"/>
        <w:jc w:val="left"/>
      </w:pPr>
      <w:r>
        <w:rPr>
          <w:rFonts w:ascii="Times New Roman" w:hAnsi="Times New Roman" w:cs="Times New Roman" w:eastAsia="Times New Roman"/>
          <w:b/>
          <w:i w:val="0"/>
          <w:sz w:val="26"/>
        </w:rPr>
        <w:t>Blocco XIV — La base giuridica: il capitale intellettuale come riparazione</w:t>
      </w:r>
    </w:p>
    <w:p>
      <w:pPr>
        <w:spacing w:line="276" w:lineRule="auto" w:after="120" w:before="0"/>
        <w:ind w:firstLine="425"/>
        <w:jc w:val="both"/>
      </w:pPr>
      <w:r>
        <w:rPr>
          <w:rFonts w:ascii="Times New Roman" w:hAnsi="Times New Roman" w:cs="Times New Roman" w:eastAsia="Times New Roman"/>
          <w:b w:val="0"/>
          <w:i w:val="0"/>
          <w:sz w:val="24"/>
        </w:rPr>
        <w:t xml:space="preserve">La base giuridica invocata affondava nelle decisioni assunte a Yalta e confermate a Potsdam, che autorizzavano la confisca e il trasferimento delle risorse industriali tedesche a titolo di riparazione. La dottrina legale sovietica interpreto tali disposizioni in modo estensivo, includendovi non soltanto i macchinari fisici ma il capitale intellettuale a essi associato, equiparando il lavoro coatto degli scienziati a una restituzione dei danni.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all'esistenza della costruzione giuridica.</w:t>
      </w:r>
    </w:p>
    <w:p>
      <w:pPr>
        <w:spacing w:line="276" w:lineRule="auto" w:after="120" w:before="0"/>
        <w:ind w:firstLine="425"/>
        <w:jc w:val="both"/>
      </w:pPr>
      <w:r>
        <w:rPr>
          <w:rFonts w:ascii="Times New Roman" w:hAnsi="Times New Roman" w:cs="Times New Roman" w:eastAsia="Times New Roman"/>
          <w:b w:val="0"/>
          <w:i w:val="0"/>
          <w:sz w:val="24"/>
        </w:rPr>
        <w:t>La costruzione merita analisi perche costituisce il caso piu netto, nella sezione, di produzione di legittimazione formale per una condotta che ne era priva. L'estensione dal macchinario alla persona non e interpretazione estensiva di una norma: e mutamento di categoria, poiche trasforma un soggetto in cespite. Che tale mutamento sia stato formulato in linguaggio giuridico e non in linguaggio di forza e il dato rilevante.</w:t>
      </w:r>
    </w:p>
    <w:p>
      <w:pPr>
        <w:spacing w:line="276" w:lineRule="auto" w:after="120" w:before="0"/>
        <w:ind w:firstLine="425"/>
        <w:jc w:val="both"/>
      </w:pPr>
      <w:r>
        <w:rPr>
          <w:rFonts w:ascii="Times New Roman" w:hAnsi="Times New Roman" w:cs="Times New Roman" w:eastAsia="Times New Roman"/>
          <w:b w:val="0"/>
          <w:i w:val="0"/>
          <w:sz w:val="24"/>
        </w:rPr>
        <w:t>Il registro rileva l'isomorfismo con il meccanismo documentato al blocco settimo. In entrambi i casi la conformita formale e ottenuta senza mutamento della condotta: nel teatro statunitense mediante alterazione della base documentale, nel teatro sovietico mediante estensione della categoria giuridica. Le tecniche differiscono, la funzione e identica, e questa identita di funzione a fronte di tecniche diverse costituisce isomorfismo strutturale nel senso proprio del pattern.</w:t>
      </w:r>
    </w:p>
    <w:p>
      <w:pPr>
        <w:spacing w:line="276" w:lineRule="auto" w:after="120" w:before="0"/>
        <w:ind w:firstLine="425"/>
        <w:jc w:val="both"/>
      </w:pPr>
      <w:r>
        <w:rPr>
          <w:rFonts w:ascii="Times New Roman" w:hAnsi="Times New Roman" w:cs="Times New Roman" w:eastAsia="Times New Roman"/>
          <w:b w:val="0"/>
          <w:i w:val="0"/>
          <w:sz w:val="24"/>
        </w:rPr>
        <w:t xml:space="preserve">Va infine registrato che la documentazione attesta l'assunzione formalmente volontaria mediante contratti, e che la maggioranza del personale opero in condizione di coercizione psicologica, isolamento informativo e dipendenza totale.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l'isomorfismo funzionale fra alterazione della base documentale ed estensione della categoria giuridica quali tecniche diverse di produzione della medesima conformita formale.</w:t>
      </w:r>
    </w:p>
    <w:p>
      <w:pPr>
        <w:spacing w:line="276" w:lineRule="auto" w:after="160" w:before="240"/>
        <w:jc w:val="left"/>
      </w:pPr>
      <w:r>
        <w:rPr>
          <w:rFonts w:ascii="Times New Roman" w:hAnsi="Times New Roman" w:cs="Times New Roman" w:eastAsia="Times New Roman"/>
          <w:b/>
          <w:i w:val="0"/>
          <w:sz w:val="26"/>
        </w:rPr>
        <w:t>Blocco XV — Il patto di Berlino e gli istituti del Mar Nero</w:t>
      </w:r>
    </w:p>
    <w:p>
      <w:pPr>
        <w:spacing w:line="276" w:lineRule="auto" w:after="120" w:before="0"/>
        <w:ind w:firstLine="425"/>
        <w:jc w:val="both"/>
      </w:pPr>
      <w:r>
        <w:rPr>
          <w:rFonts w:ascii="Times New Roman" w:hAnsi="Times New Roman" w:cs="Times New Roman" w:eastAsia="Times New Roman"/>
          <w:b w:val="0"/>
          <w:i w:val="0"/>
          <w:sz w:val="24"/>
        </w:rPr>
        <w:t xml:space="preserve">Consapevoli del crollo imminente, quattro figure dominanti della scienza tedesca — Manfred von Ardenne, Gustav Hertz, Peter Adolf Thiessen e Max Volmer — strinsero un patto di mutuo soccorso in base al quale chi per primo avesse stabilito contatto con le truppe sovietiche avrebbe parlato a nome dell'intero gruppo, garantendo condizioni di lavoro e incolumita.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trattandosi di ricostruzione storiografica fondata su testimonianze dei protagonisti.</w:t>
      </w:r>
    </w:p>
    <w:p>
      <w:pPr>
        <w:spacing w:line="276" w:lineRule="auto" w:after="120" w:before="0"/>
        <w:ind w:firstLine="425"/>
        <w:jc w:val="both"/>
      </w:pPr>
      <w:r>
        <w:rPr>
          <w:rFonts w:ascii="Times New Roman" w:hAnsi="Times New Roman" w:cs="Times New Roman" w:eastAsia="Times New Roman"/>
          <w:b w:val="0"/>
          <w:i w:val="0"/>
          <w:sz w:val="24"/>
        </w:rPr>
        <w:t>Il patto e nodo analitico di primo rango e va qualificato con precisione. Esso documenta che l'iniziativa non fu unilaterale dell'acquirente: i soggetti acquisiti organizzarono preventivamente la propria acquisizione, negoziando collettivamente le condizioni della propria cattura. La categoria della deportazione, corretta quanto alla forma dell'operazione di massa, e insufficiente a descrivere il comportamento del vertice scientifico, che si colloca fra la coercizione e la contrattazione.</w:t>
      </w:r>
    </w:p>
    <w:p>
      <w:pPr>
        <w:spacing w:line="276" w:lineRule="auto" w:after="120" w:before="0"/>
        <w:ind w:firstLine="425"/>
        <w:jc w:val="both"/>
      </w:pPr>
      <w:r>
        <w:rPr>
          <w:rFonts w:ascii="Times New Roman" w:hAnsi="Times New Roman" w:cs="Times New Roman" w:eastAsia="Times New Roman"/>
          <w:b w:val="0"/>
          <w:i w:val="0"/>
          <w:sz w:val="24"/>
        </w:rPr>
        <w:t xml:space="preserve">Von Ardenne fu trasferito a Sukhumi con l'intero laboratorio e posto alla guida dell'Istituto A, con mandato sulla separazione elettromagnetica degli isotopi. Hertz, premio Nobel del millenovecentoventicinque ed ex direttore della ricerca presso Siemens, marginalizzato formalmente ma non operativamente dal regime in ragione delle origini parziali, fu posto a capo dell'Istituto G ad Agudzery con mandato sulla diffusione gassosa.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che la statura accademica di Hertz forni all'acquirente non soltanto competenza ma prestigio internazionale, e formalizza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nozione di acquisizione reputazionale come categoria distinta dall'acquisizione tecnica.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che il vertice scientifico negozio collettivamente e preventivamente le condizioni della propria acquisizione, e si formalizza la nozione di acquisizione reputazionale come categoria distinta.</w:t>
      </w:r>
    </w:p>
    <w:p>
      <w:pPr>
        <w:spacing w:line="276" w:lineRule="auto" w:after="160" w:before="240"/>
        <w:jc w:val="left"/>
      </w:pPr>
      <w:r>
        <w:rPr>
          <w:rFonts w:ascii="Times New Roman" w:hAnsi="Times New Roman" w:cs="Times New Roman" w:eastAsia="Times New Roman"/>
          <w:b/>
          <w:i w:val="0"/>
          <w:sz w:val="26"/>
        </w:rPr>
        <w:t>Blocco XVI — Peter Adolf Thiessen: dal partito al Premio Stalin al vertice della Germania orientale</w:t>
      </w:r>
    </w:p>
    <w:p>
      <w:pPr>
        <w:spacing w:line="276" w:lineRule="auto" w:after="120" w:before="0"/>
        <w:ind w:firstLine="425"/>
        <w:jc w:val="both"/>
      </w:pPr>
      <w:r>
        <w:rPr>
          <w:rFonts w:ascii="Times New Roman" w:hAnsi="Times New Roman" w:cs="Times New Roman" w:eastAsia="Times New Roman"/>
          <w:b w:val="0"/>
          <w:i w:val="0"/>
          <w:sz w:val="24"/>
        </w:rPr>
        <w:t xml:space="preserve">Peter Adolf Thiessen, gia direttore di un istituto della societa scientifica imperiale e membro del partito nazista fin dal millenovecentoventicinque con legami documentati ai vertici del regime, fu assegnato a lavorare come subordinato di von Ardenne. La letteratura e i materiali di debriefing documentano profondi attriti fra i due, ritenendo Thiessen la propria caratura accademica superiore all'eclettismo dell'altro.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dato decisivo e la tempestivita del riposizionamento: Thiessen aveva allacciato contatti con elementi comunisti gia nell'aprile del millenovecentoquarantacinque. Divenne cruciale per la produzione delle barriere di diffusione gassosa e ricevette il Premio Stalin di prima classe; dopo il millenovecentocinquantacinque assunse posizione apicale nell'apparato scientifico della Germania orientale.</w:t>
      </w:r>
    </w:p>
    <w:p>
      <w:pPr>
        <w:spacing w:line="276" w:lineRule="auto" w:after="120" w:before="0"/>
        <w:ind w:firstLine="425"/>
        <w:jc w:val="both"/>
      </w:pPr>
      <w:r>
        <w:rPr>
          <w:rFonts w:ascii="Times New Roman" w:hAnsi="Times New Roman" w:cs="Times New Roman" w:eastAsia="Times New Roman"/>
          <w:b w:val="0"/>
          <w:i w:val="0"/>
          <w:sz w:val="24"/>
        </w:rPr>
        <w:t>La traiettoria costituisce il caso esemplare designato del pattern di migrazione inter-dominio applicato al dominio scientifico, e va enunciata nella sua forma piu netta: appartenenza al partito dal millenovecentoventicinque, contatto con il campo avverso nell'aprile del millenovecentoquarantacinque, onorificenza suprema dello Stato acquirente, vertice istituzionale nello Stato successore. Nessuna discontinuita e riscontrabile in questa sequenza, ne fu richiesta.</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la competenza tecnica funziona, nei sistemi in competizione tecnologica, come titolo di immunita fungibile fra ordinamenti ideologicamente opposti, e ne designa il falsificatore nella dimostrazione di casi in cui la competenza tecnica non abbia prodotto immunita a parita di utilita e di gravita degli addebiti.</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nozione di competenza tecnica come titolo di immunita fungibile fra ordinamenti opposti, con caso esemplare designato e falsificatore enunciato.</w:t>
      </w:r>
    </w:p>
    <w:p>
      <w:pPr>
        <w:spacing w:line="276" w:lineRule="auto" w:after="160" w:before="240"/>
        <w:jc w:val="left"/>
      </w:pPr>
      <w:r>
        <w:rPr>
          <w:rFonts w:ascii="Times New Roman" w:hAnsi="Times New Roman" w:cs="Times New Roman" w:eastAsia="Times New Roman"/>
          <w:b/>
          <w:i w:val="0"/>
          <w:sz w:val="26"/>
        </w:rPr>
        <w:t>Blocco XVII — Nikolaus Riehl e la metallurgia dell'uranio</w:t>
      </w:r>
    </w:p>
    <w:p>
      <w:pPr>
        <w:spacing w:line="276" w:lineRule="auto" w:after="120" w:before="0"/>
        <w:ind w:firstLine="425"/>
        <w:jc w:val="both"/>
      </w:pPr>
      <w:r>
        <w:rPr>
          <w:rFonts w:ascii="Times New Roman" w:hAnsi="Times New Roman" w:cs="Times New Roman" w:eastAsia="Times New Roman"/>
          <w:b w:val="0"/>
          <w:i w:val="0"/>
          <w:sz w:val="24"/>
        </w:rPr>
        <w:t xml:space="preserve">Nikolaus Riehl, nato a San Pietroburgo da padre tedesco e madre russa e perfettamente bilingue, dirigeva prima della guerra la ricerca presso l'azienda leader nella purificazione dell'uranio nel Reich. Catturato a Berlino, fu inviato all'impianto di Elektrostal con il compito di convertire migliaia di tonnellate di ossido di uranio in metallo di purezza assoluta, condizione necessaria per l'avvio del primo reattore sovietico e per la produzione del plutonio.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successo gli valse il titolo di Eroe del Lavoro Socialista e il Premio Stalin di prima classe nel millenovecentoquarantanove, facendone il tedesco piu decorato dell'Unione Sovietica.</w:t>
      </w:r>
    </w:p>
    <w:p>
      <w:pPr>
        <w:spacing w:line="276" w:lineRule="auto" w:after="120" w:before="0"/>
        <w:ind w:firstLine="425"/>
        <w:jc w:val="both"/>
      </w:pPr>
      <w:r>
        <w:rPr>
          <w:rFonts w:ascii="Times New Roman" w:hAnsi="Times New Roman" w:cs="Times New Roman" w:eastAsia="Times New Roman"/>
          <w:b w:val="0"/>
          <w:i w:val="0"/>
          <w:sz w:val="24"/>
        </w:rPr>
        <w:t xml:space="preserve">Il nodo ha rendimento analitico specifico. Il contributo di Riehl non fu teorico ma industriale: non produsse conoscenza ma scala. Il registro segnala che, in tutti i teatri esaminati, il collo di bottiglia dell'acquisizione non fu la teoria, disponibile e in larga parte pubblicata, bensi la capacita di industrializzazione, che e conoscenza incorporata in persone e in procedure e non trasferibile per via documentale. Questa e la ragione strutturale per cui furono acquisite persone e non soltanto archivi, ed e proposizione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che ricorre identica nel teatro delle armi leggere trattato al blocco ventunesimo.</w:t>
      </w:r>
    </w:p>
    <w:p>
      <w:pPr>
        <w:spacing w:line="276" w:lineRule="auto" w:after="120" w:before="0"/>
        <w:ind w:firstLine="425"/>
        <w:jc w:val="both"/>
      </w:pPr>
      <w:r>
        <w:rPr>
          <w:rFonts w:ascii="Times New Roman" w:hAnsi="Times New Roman" w:cs="Times New Roman" w:eastAsia="Times New Roman"/>
          <w:b w:val="0"/>
          <w:i w:val="0"/>
          <w:sz w:val="24"/>
        </w:rPr>
        <w:t>Il registro rileva inoltre la parte di uranio proveniente dalle miniere sassoni, che collega l'acquisizione del personale all'acquisizione del territorio e delle sue risorse, integrando i due profili della riparazione.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che il collo di bottiglia dell'acquisizione fu la capacita di industrializzazione e non la conoscenza teorica, il che fonda strutturalmente la scelta di acquisire persone anziche soli archivi.</w:t>
      </w:r>
    </w:p>
    <w:p>
      <w:pPr>
        <w:spacing w:line="276" w:lineRule="auto" w:after="160" w:before="240"/>
        <w:jc w:val="left"/>
      </w:pPr>
      <w:r>
        <w:rPr>
          <w:rFonts w:ascii="Times New Roman" w:hAnsi="Times New Roman" w:cs="Times New Roman" w:eastAsia="Times New Roman"/>
          <w:b/>
          <w:i w:val="0"/>
          <w:sz w:val="26"/>
        </w:rPr>
        <w:t>Blocco XVIII — Karl-Heinrich Riewe e il limite coercitivo</w:t>
      </w:r>
    </w:p>
    <w:p>
      <w:pPr>
        <w:spacing w:line="276" w:lineRule="auto" w:after="120" w:before="0"/>
        <w:ind w:firstLine="425"/>
        <w:jc w:val="both"/>
      </w:pPr>
      <w:r>
        <w:rPr>
          <w:rFonts w:ascii="Times New Roman" w:hAnsi="Times New Roman" w:cs="Times New Roman" w:eastAsia="Times New Roman"/>
          <w:b w:val="0"/>
          <w:i w:val="0"/>
          <w:sz w:val="24"/>
        </w:rPr>
        <w:t xml:space="preserve">Presso il laboratorio di Obninsk, diretto dal fisico Heinz Pose e composto attingendo ai campi di prigionia e alla rete dell'operazione, un malcontento esasperato culmino nel millenovecentoquarantotto in un atto senza precedenti: i fisici Karl-Heinrich Riewe e Renger indissero uno sciopero per denunciare lo status di prigionia non dichiarata. Rapporti declassificati indicano che Riewe fu accusato di sabotaggio e giustiziato. Il grado dell'esistenza dello sciopero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il grado dell'esito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poiche la fonte e unica ancorche documentale.</w:t>
      </w:r>
    </w:p>
    <w:p>
      <w:pPr>
        <w:spacing w:line="276" w:lineRule="auto" w:after="120" w:before="0"/>
        <w:ind w:firstLine="425"/>
        <w:jc w:val="both"/>
      </w:pPr>
      <w:r>
        <w:rPr>
          <w:rFonts w:ascii="Times New Roman" w:hAnsi="Times New Roman" w:cs="Times New Roman" w:eastAsia="Times New Roman"/>
          <w:b w:val="0"/>
          <w:i w:val="0"/>
          <w:sz w:val="24"/>
        </w:rPr>
        <w:t>Il nodo e conservato per la sua funzione dimostrativa e va enunciato con precisione. Lo sciopero e l'unico atto documentato, nell'intera sezione e in entrambi i teatri, in cui i soggetti acquisiti qualificano pubblicamente la propria condizione. La sua repressione con esito estremo definisce il limite del sistema: la contrattazione era ammessa al livello individuale e apicale, come documentato al blocco quindicesimo, ed era esclusa al livello collettivo.</w:t>
      </w:r>
    </w:p>
    <w:p>
      <w:pPr>
        <w:spacing w:line="276" w:lineRule="auto" w:after="120" w:before="0"/>
        <w:ind w:firstLine="425"/>
        <w:jc w:val="both"/>
      </w:pPr>
      <w:r>
        <w:rPr>
          <w:rFonts w:ascii="Times New Roman" w:hAnsi="Times New Roman" w:cs="Times New Roman" w:eastAsia="Times New Roman"/>
          <w:b w:val="0"/>
          <w:i w:val="0"/>
          <w:sz w:val="24"/>
        </w:rPr>
        <w:t xml:space="preserve">Ne discende una qualificazione precisa della condizione dei soggetti acquisiti nel teatro sovietico, che il registro adotta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non prigionia dichiarata, non impiego libero, bensi condizione intermedia in cui il margine di negoziazione era funzione della posizione gerarchica e si annullava nella forma collettiva.</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il caso parallelo del chimico Karl-Hermann Geib, autore nel millenovecentoquarantatre di un processo per la produzione massiva di acqua pesante, che tento di contattare una rappresentanza diplomatica occidentale a Mosca per organizzare una fuga e scomparve in circostanze non chiarite. Il grado del tentativo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il grado dell'esito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che il margine di negoziazione dei soggetti acquisiti era funzione della posizione gerarchica e si annullava nella forma collettiva, con l'episodio del millenovecentoquarantotto quale limite documentato del sistema.</w:t>
      </w:r>
    </w:p>
    <w:p>
      <w:pPr>
        <w:spacing w:line="276" w:lineRule="auto" w:after="160" w:before="240"/>
        <w:jc w:val="left"/>
      </w:pPr>
      <w:r>
        <w:rPr>
          <w:rFonts w:ascii="Times New Roman" w:hAnsi="Times New Roman" w:cs="Times New Roman" w:eastAsia="Times New Roman"/>
          <w:b/>
          <w:i w:val="0"/>
          <w:sz w:val="26"/>
        </w:rPr>
        <w:t>Blocco XIX — Helmut Grottrup e l'isolamento di Gorodomlya</w:t>
      </w:r>
    </w:p>
    <w:p>
      <w:pPr>
        <w:spacing w:line="276" w:lineRule="auto" w:after="120" w:before="0"/>
        <w:ind w:firstLine="425"/>
        <w:jc w:val="both"/>
      </w:pPr>
      <w:r>
        <w:rPr>
          <w:rFonts w:ascii="Times New Roman" w:hAnsi="Times New Roman" w:cs="Times New Roman" w:eastAsia="Times New Roman"/>
          <w:b w:val="0"/>
          <w:i w:val="0"/>
          <w:sz w:val="24"/>
        </w:rPr>
        <w:t xml:space="preserve">Helmut Grottrup, ingegnere dei sistemi di controllo del razzo di Peenemunde, arrestato nel millenovecentoquarantaquattro insieme a von Braun con accusa di disfattismo, passo inizialmente agli americani e opto successivamente per i sovietici, assumendo la direzione dell'istituto di Bleicherode e poi la supervisione tecnica di oltre mille connazionali.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Con l'operazione del ventidue ottobre millenovecentoquarantasei l'elite balistica fu trasferita all'istituto di ricerca di Podlipki, e nel millenovecentoquarantasette centosettanta specialisti con le famiglie furono isolati sull'isola di Gorodomlya, a trecento chilometri da Mosca.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L'isolamento rispondeva a una strategia esplicita: estrarre idee senza consentire accesso alle catene di montaggio, ai materiali e ai siti di lancio. Nonostante l'assenza di collaudo pratico, il gruppo progetto una nuova generazione di missili abbandonando l'architettura precedente, con serbatoi strutturali integrati nella pelle del veicolo, pressurizzazione mediante gas di scarico e testata separabile, conseguendo gittate teoriche crescenti. I progetti non furono mai approvati per la costruzione, mentre le innovazioni furono incorporate nei modelli indigeni.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registro qualifica questo dispositivo come estrazione senza attribuzione e ne rileva l'identita funzionale con quanto documentato nel teatro statunitense in forma inversa: la, attribuzione pubblica con differimento dell'accertamento; qui, estrazione con negazione dell'attribuzione. Entrambi i dispositivi separano il contributo dal contributore, il che costituisce, sul piano strutturale, la medesima operazione.</w:t>
      </w:r>
    </w:p>
    <w:p>
      <w:pPr>
        <w:spacing w:line="276" w:lineRule="auto" w:after="240" w:before="0"/>
        <w:ind w:firstLine="425"/>
        <w:jc w:val="both"/>
      </w:pPr>
      <w:r>
        <w:rPr>
          <w:rFonts w:ascii="Times New Roman" w:hAnsi="Times New Roman" w:cs="Times New Roman" w:eastAsia="Times New Roman"/>
          <w:b w:val="0"/>
          <w:i/>
          <w:sz w:val="22"/>
        </w:rPr>
        <w:t>Sintesi del dato nuovo acquisito: si qualifica l'estrazione senza attribuzione come dispositivo speculare e funzionalmente identico all'attribuzione con accertamento differito, entrambi risolventisi nella separazione fra contributo e contributore.</w:t>
      </w:r>
    </w:p>
    <w:p>
      <w:pPr>
        <w:spacing w:line="276" w:lineRule="auto" w:after="160" w:before="240"/>
        <w:jc w:val="left"/>
      </w:pPr>
      <w:r>
        <w:rPr>
          <w:rFonts w:ascii="Times New Roman" w:hAnsi="Times New Roman" w:cs="Times New Roman" w:eastAsia="Times New Roman"/>
          <w:b/>
          <w:i w:val="0"/>
          <w:sz w:val="26"/>
        </w:rPr>
        <w:t>Blocco XX — Ferdinand Brandner e il motore del bombardiere strategico</w:t>
      </w:r>
    </w:p>
    <w:p>
      <w:pPr>
        <w:spacing w:line="276" w:lineRule="auto" w:after="120" w:before="0"/>
        <w:ind w:firstLine="425"/>
        <w:jc w:val="both"/>
      </w:pPr>
      <w:r>
        <w:rPr>
          <w:rFonts w:ascii="Times New Roman" w:hAnsi="Times New Roman" w:cs="Times New Roman" w:eastAsia="Times New Roman"/>
          <w:b w:val="0"/>
          <w:i w:val="0"/>
          <w:sz w:val="24"/>
        </w:rPr>
        <w:t xml:space="preserve">Ferdinand Brandner, ingegnere austriaco e gia colonnello delle SS, fu trasferito a Kujbysev e inserito in un ufficio di progettazione presieduto formalmente da un ingegnere sovietico. Coordinando lo sviluppo a partire da specifiche incomplete di un motore tedesco e combinandole con le leghe resistenti al calore sviluppate localmente, il suo gruppo produsse il turbopropulsore che equipaggio il bombardiere strategico a lunghissimo raggio, consentendo di minacciare direttamente il territorio continentale avversario.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nodo va enunciato nella sua portata strategica e non soltanto biografica. Un ufficiale superiore delle SS contribui in modo determinante allo strumento con cui l'Unione Sovietica acquisi capacita di proiezione intercontinentale. La proposizione non e retorica: e descrizione di una catena causale documentata, e costituisce la piu forte istanza empirica, nell'intera sezione, dell'invariante secondo cui l'utilita tecnica prevalse su ogni criterio penale e ideologico.</w:t>
      </w:r>
    </w:p>
    <w:p>
      <w:pPr>
        <w:spacing w:line="276" w:lineRule="auto" w:after="120" w:before="0"/>
        <w:ind w:firstLine="425"/>
        <w:jc w:val="both"/>
      </w:pPr>
      <w:r>
        <w:rPr>
          <w:rFonts w:ascii="Times New Roman" w:hAnsi="Times New Roman" w:cs="Times New Roman" w:eastAsia="Times New Roman"/>
          <w:b w:val="0"/>
          <w:i w:val="0"/>
          <w:sz w:val="24"/>
        </w:rPr>
        <w:t xml:space="preserve">Il teatro aeronautico presenta ulteriori nodi convergenti: Brunolf Baade, progettista del bombardiere a reazione ad ala a freccia invertita, che aderi al partito comunista e fu rimpatriato per dirigere il programma aeronautico civile della Germania orientale; Siegfried Gunter, gia capo progettista presso una casa aeronautica, prelevato a Berlino nel millenovecentoquarantotto e rilasciato nel millenovecentocinquantasette.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registro segnala l'asimmetria fra le traiettorie di Baade e Brandner: l'adesione ideologica del primo produsse riabilitazione politica, la sola competenza del secondo produsse impiego senza riabilitazione. L'asimmetria conferma il criterio formulato al blocco sedicesimo e ne precisa il limite: la competenza produce immunita, l'adesione produce carriera.</w:t>
      </w:r>
    </w:p>
    <w:p>
      <w:pPr>
        <w:spacing w:line="276" w:lineRule="auto" w:after="240" w:before="0"/>
        <w:ind w:firstLine="425"/>
        <w:jc w:val="both"/>
      </w:pPr>
      <w:r>
        <w:rPr>
          <w:rFonts w:ascii="Times New Roman" w:hAnsi="Times New Roman" w:cs="Times New Roman" w:eastAsia="Times New Roman"/>
          <w:b w:val="0"/>
          <w:i/>
          <w:sz w:val="22"/>
        </w:rPr>
        <w:t>Sintesi del dato nuovo acquisito: si precisa il criterio dell'immunita tecnica distinguendo il suo esito da quello dell'adesione ideologica, che produce non immunita ma carriera, sulla base di due traiettorie parallele documentate.</w:t>
      </w:r>
    </w:p>
    <w:p>
      <w:pPr>
        <w:spacing w:line="276" w:lineRule="auto" w:after="160" w:before="240"/>
        <w:jc w:val="left"/>
      </w:pPr>
      <w:r>
        <w:rPr>
          <w:rFonts w:ascii="Times New Roman" w:hAnsi="Times New Roman" w:cs="Times New Roman" w:eastAsia="Times New Roman"/>
          <w:b/>
          <w:i w:val="0"/>
          <w:sz w:val="26"/>
        </w:rPr>
        <w:t>Blocco XXI — Confutazione formale: il plagio dell'arma automatica</w:t>
      </w:r>
    </w:p>
    <w:p>
      <w:pPr>
        <w:spacing w:line="276" w:lineRule="auto" w:after="120" w:before="0"/>
        <w:ind w:firstLine="425"/>
        <w:jc w:val="both"/>
      </w:pPr>
      <w:r>
        <w:rPr>
          <w:rFonts w:ascii="Times New Roman" w:hAnsi="Times New Roman" w:cs="Times New Roman" w:eastAsia="Times New Roman"/>
          <w:b w:val="0"/>
          <w:i w:val="0"/>
          <w:sz w:val="24"/>
        </w:rPr>
        <w:t>Si registra fra le confutazioni del progetto la tesi secondo cui il fucile d'assalto sovietico costituirebbe copia diretta dell'arma tedesca in forza della presenza del suo progettista in Unione Sovietica.</w:t>
      </w:r>
    </w:p>
    <w:p>
      <w:pPr>
        <w:spacing w:line="276" w:lineRule="auto" w:after="120" w:before="0"/>
        <w:ind w:firstLine="425"/>
        <w:jc w:val="both"/>
      </w:pPr>
      <w:r>
        <w:rPr>
          <w:rFonts w:ascii="Times New Roman" w:hAnsi="Times New Roman" w:cs="Times New Roman" w:eastAsia="Times New Roman"/>
          <w:b w:val="0"/>
          <w:i w:val="0"/>
          <w:sz w:val="24"/>
        </w:rPr>
        <w:t xml:space="preserve">I fatti accertati sono i seguenti. Nell'aprile del millenovecentoquarantacinque gli stabilimenti della Turingia passarono sotto controllo prima statunitense e poi sovietico; furono confiscati oltre diecimila fogli di disegni tecnici e ordinata la produzione esplorativa di cinquanta esemplari. Con l'operazione dell'ottobre millenovecentoquarantasei Hugo Schmeisser e una decina di specialisti armieri furono trasferiti alla fabbrica di Izevsk costituendo un dipartimento dedicato.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La confutazione poggia su tre elementi. I dossier descrivono per Schmeisser una permanenza segnata da ostilita aperta e non cooperazione, con contributo registrato minimo. La progettazione dell'arma sovietica avveniva a circa novecento chilometri di distanza, con meccanismo di chiusura a otturatore rotante profondamente diverso dal sistema a blocco basculante. Il contributo tedesco effettivo non fu meccanico bensi metallurgico e produttivo, e va attribuito a Werner Gruner, pioniere dello stampaggio a freddo di lamiere spesse, che consenti di superare il collo di bottiglia della fresatura dal pieno e rese possibile, alla fine degli anni Cinquanta, la versione stampata prodotta in decine di milioni di esemplari.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La confutazione conferma per via indipendente la proposizione del blocco diciassettesimo: il trasferimento decisivo non riguardo il progetto ma la scala. Il registro rileva che la tesi confutata e sopravvissuta per decenni anche in ragione della censura imposta dal blocco orientale sul contributo della scuola armiera tedesca, il che costituisce caso documentato di errore alimentato simmetricamente dalla propaganda e dalla sua negazione.</w:t>
      </w:r>
    </w:p>
    <w:p>
      <w:pPr>
        <w:spacing w:line="276" w:lineRule="auto" w:after="240" w:before="0"/>
        <w:ind w:firstLine="425"/>
        <w:jc w:val="both"/>
      </w:pPr>
      <w:r>
        <w:rPr>
          <w:rFonts w:ascii="Times New Roman" w:hAnsi="Times New Roman" w:cs="Times New Roman" w:eastAsia="Times New Roman"/>
          <w:b w:val="0"/>
          <w:i/>
          <w:sz w:val="22"/>
        </w:rPr>
        <w:t>Sintesi del dato nuovo acquisito: si registra la confutazione della tesi del plagio meccanico e si riattribuisce il trasferimento decisivo alla tecnologia di stampaggio e alla scala produttiva, confermando per via indipendente il criterio del blocco diciassettesimo.</w:t>
      </w:r>
    </w:p>
    <w:p>
      <w:pPr>
        <w:spacing w:line="276" w:lineRule="auto" w:after="160" w:before="240"/>
        <w:jc w:val="left"/>
      </w:pPr>
      <w:r>
        <w:rPr>
          <w:rFonts w:ascii="Times New Roman" w:hAnsi="Times New Roman" w:cs="Times New Roman" w:eastAsia="Times New Roman"/>
          <w:b/>
          <w:i w:val="0"/>
          <w:sz w:val="26"/>
        </w:rPr>
        <w:t>Blocco XXII — Il conglomerato economico spagnolo e il viaggio di Bayreuth</w:t>
      </w:r>
    </w:p>
    <w:p>
      <w:pPr>
        <w:spacing w:line="276" w:lineRule="auto" w:after="120" w:before="0"/>
        <w:ind w:firstLine="425"/>
        <w:jc w:val="both"/>
      </w:pPr>
      <w:r>
        <w:rPr>
          <w:rFonts w:ascii="Times New Roman" w:hAnsi="Times New Roman" w:cs="Times New Roman" w:eastAsia="Times New Roman"/>
          <w:b w:val="0"/>
          <w:i w:val="0"/>
          <w:sz w:val="24"/>
        </w:rPr>
        <w:t xml:space="preserve">Il conglomerato economico del Terzo Reich in Spagna, fondato da Johannes Bernhardt e generato dal sistema di compensazione ispano-marocchino, costituisce il primo nodo del teatro iberico. La genesi comprende il viaggio a Bayreuth del millenovecentotrentasei per perorare presso Hitler il sostegno alla parte franchista nella guerra civile.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secondo l'esito della terza nota di verifica.</w:t>
      </w:r>
    </w:p>
    <w:p>
      <w:pPr>
        <w:spacing w:line="276" w:lineRule="auto" w:after="120" w:before="0"/>
        <w:ind w:firstLine="425"/>
        <w:jc w:val="both"/>
      </w:pPr>
      <w:r>
        <w:rPr>
          <w:rFonts w:ascii="Times New Roman" w:hAnsi="Times New Roman" w:cs="Times New Roman" w:eastAsia="Times New Roman"/>
          <w:b w:val="0"/>
          <w:i w:val="0"/>
          <w:sz w:val="24"/>
        </w:rPr>
        <w:t>Il nodo va enunciato nella sua struttura e non nella sua cronaca. Si documenta qui la costituzione, anteriore alla guerra mondiale, di un'infrastruttura economica tedesca radicata in un ordinamento straniero e legata alla sua classe dirigente da un rapporto di origine: il regime spagnolo doveva al sostegno tedesco una parte della propria esistenza. Quando nel millenovecentoquarantacinque si pose il problema del rifugio, l'infrastruttura non dovette essere creata, poiche esisteva gia con proprie sedi, proprie coperture societarie e propri rapporti fiduciari.</w:t>
      </w:r>
    </w:p>
    <w:p>
      <w:pPr>
        <w:spacing w:line="276" w:lineRule="auto" w:after="120" w:before="0"/>
        <w:ind w:firstLine="425"/>
        <w:jc w:val="both"/>
      </w:pPr>
      <w:r>
        <w:rPr>
          <w:rFonts w:ascii="Times New Roman" w:hAnsi="Times New Roman" w:cs="Times New Roman" w:eastAsia="Times New Roman"/>
          <w:b w:val="0"/>
          <w:i w:val="0"/>
          <w:sz w:val="24"/>
        </w:rPr>
        <w:t xml:space="preserve">Ne discende la principale acquisizione strutturale del teatro iberico, che 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i santuari efficaci non furono costruiti dopo la sconfitta bensi preesistevano ad essa in forma economica, e la loro conversione in strutture di protezione richiese mutamento di funzione e non di architettura. La proposizione e falsificabile mediante dimostrazione di santuari efficaci privi di infrastruttura economica anteriore.</w:t>
      </w:r>
    </w:p>
    <w:p>
      <w:pPr>
        <w:spacing w:line="276" w:lineRule="auto" w:after="120" w:before="0"/>
        <w:ind w:firstLine="425"/>
        <w:jc w:val="both"/>
      </w:pPr>
      <w:r>
        <w:rPr>
          <w:rFonts w:ascii="Times New Roman" w:hAnsi="Times New Roman" w:cs="Times New Roman" w:eastAsia="Times New Roman"/>
          <w:b w:val="0"/>
          <w:i w:val="0"/>
          <w:sz w:val="24"/>
        </w:rPr>
        <w:t xml:space="preserve">Le quantificazioni del conglomerato e la quota di commercio estero da esso controllata restano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come ordine di grandezza, in conformita alla quarantena disposta dalla nota di verifica.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tesi della preesistenza economica dei santuari efficaci, secondo cui la loro conversione richiese mutamento di funzione e non di architettura, con falsificatore designato.</w:t>
      </w:r>
    </w:p>
    <w:p>
      <w:pPr>
        <w:spacing w:line="276" w:lineRule="auto" w:after="160" w:before="240"/>
        <w:jc w:val="left"/>
      </w:pPr>
      <w:r>
        <w:rPr>
          <w:rFonts w:ascii="Times New Roman" w:hAnsi="Times New Roman" w:cs="Times New Roman" w:eastAsia="Times New Roman"/>
          <w:b/>
          <w:i w:val="0"/>
          <w:sz w:val="26"/>
        </w:rPr>
        <w:t>Blocco XXIII — L'operazione alleata di recupero e il suo fallimento</w:t>
      </w:r>
    </w:p>
    <w:p>
      <w:pPr>
        <w:spacing w:line="276" w:lineRule="auto" w:after="120" w:before="0"/>
        <w:ind w:firstLine="425"/>
        <w:jc w:val="both"/>
      </w:pPr>
      <w:r>
        <w:rPr>
          <w:rFonts w:ascii="Times New Roman" w:hAnsi="Times New Roman" w:cs="Times New Roman" w:eastAsia="Times New Roman"/>
          <w:b w:val="0"/>
          <w:i w:val="0"/>
          <w:sz w:val="24"/>
        </w:rPr>
        <w:t xml:space="preserve">L'operazione alleata di recupero dei capitali tedeschi, avviata nel millenovecentoquarantaquattro, fu progressivamente vanificata dalle priorita della guerra fredda, e in primo luogo dalla necessita di conservare l'accesso alla base atlantica insulare portoghese.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nodo costituisce l'esemplare designato di un meccanismo che ricorre in tutta la sezione: il conflitto fra obiettivo di giustizia postbellica e obiettivo di posizionamento strategico, risolto sistematicamente in favore del secondo. La rilevanza non sta nell'esito, prevedibile, ma nella cronologia: l'operazione fu concepita mentre la guerra era ancora in corso e fu neutralizzata entro pochi anni, il che colloca l'inversione di priorita in una finestra temporale assai stretta e databile.</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la finestra di effettiva perseguibilita dei patrimoni e dei responsabili si chiuse fra il millenovecentoquarantasei e il millenovecentoquarantotto in tutti i teatri esaminati, e ne designa il falsificatore nella dimostrazione di procedimenti efficaci avviati e condotti a termine oltre tale soglia in assenza di pressione politica sopravvenuta.</w:t>
      </w:r>
    </w:p>
    <w:p>
      <w:pPr>
        <w:spacing w:line="276" w:lineRule="auto" w:after="120" w:before="0"/>
        <w:ind w:firstLine="425"/>
        <w:jc w:val="both"/>
      </w:pPr>
      <w:r>
        <w:rPr>
          <w:rFonts w:ascii="Times New Roman" w:hAnsi="Times New Roman" w:cs="Times New Roman" w:eastAsia="Times New Roman"/>
          <w:b w:val="0"/>
          <w:i w:val="0"/>
          <w:sz w:val="24"/>
        </w:rPr>
        <w:t>Va registrato che la neutralizzazione non avvenne per abrogazione formale, in coerenza con quanto documentato ai blocchi settimo e quattordicesimo: la struttura giuridica rimase in piedi e fu privata di applicazione. E la terza variante della medesima tecnica.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collocazione della chiusura della finestra di perseguibilita fra il millenovecentoquarantasei e il millenovecentoquarantotto, e si registra la terza variante documentata della neutralizzazione senza abrogazione.</w:t>
      </w:r>
    </w:p>
    <w:p>
      <w:pPr>
        <w:spacing w:line="276" w:lineRule="auto" w:after="160" w:before="240"/>
        <w:jc w:val="left"/>
      </w:pPr>
      <w:r>
        <w:rPr>
          <w:rFonts w:ascii="Times New Roman" w:hAnsi="Times New Roman" w:cs="Times New Roman" w:eastAsia="Times New Roman"/>
          <w:b/>
          <w:i w:val="0"/>
          <w:sz w:val="26"/>
        </w:rPr>
        <w:t>Blocco XXIV — Clara Stauffer e la rete madrilena</w:t>
      </w:r>
    </w:p>
    <w:p>
      <w:pPr>
        <w:spacing w:line="276" w:lineRule="auto" w:after="120" w:before="0"/>
        <w:ind w:firstLine="425"/>
        <w:jc w:val="both"/>
      </w:pPr>
      <w:r>
        <w:rPr>
          <w:rFonts w:ascii="Times New Roman" w:hAnsi="Times New Roman" w:cs="Times New Roman" w:eastAsia="Times New Roman"/>
          <w:b w:val="0"/>
          <w:i w:val="0"/>
          <w:sz w:val="24"/>
        </w:rPr>
        <w:t xml:space="preserve">Clara Stauffer, dirigente della sezione femminile del movimento unico spagnolo, mise in salvo dalla propria rete madrilena un numero di fuggiaschi dell'ordine di ottocento, fra i quali figure di primo rilievo.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nodo ha rendimento analitico specifico e va sottratto alla trattazione aneddotica che gli e stata riservata. Esso documenta che una componente essenziale dell'infrastruttura di esfiltrazione fu costituita da strutture di partito legali, operanti alla luce del sole, con organizzazione, sedi e personale propri, e con una dirigenza femminile che la letteratura sulle reti clandestine ha sistematicamente sottorappresentato.</w:t>
      </w:r>
    </w:p>
    <w:p>
      <w:pPr>
        <w:spacing w:line="276" w:lineRule="auto" w:after="120" w:before="0"/>
        <w:ind w:firstLine="425"/>
        <w:jc w:val="both"/>
      </w:pPr>
      <w:r>
        <w:rPr>
          <w:rFonts w:ascii="Times New Roman" w:hAnsi="Times New Roman" w:cs="Times New Roman" w:eastAsia="Times New Roman"/>
          <w:b w:val="0"/>
          <w:i w:val="0"/>
          <w:sz w:val="24"/>
        </w:rPr>
        <w:t>Ne discende una correzione al modello prevalente. La rete di esfiltrazione non ebbe la morfologia della cellula clandestina, con compartimentazione e comunicazione cifrata; ebbe la morfologia dell'organizzazione assistenziale, con archivi, corrispondenza e contabilita. La conseguenza per la ricerca e diretta e va registrata: la documentazione di queste reti va cercata negli archivi delle organizzazioni legali che le ospitarono e non negli archivi di sicurezza, e cio ne modifica radicalmente la rimediabilita.</w:t>
      </w:r>
    </w:p>
    <w:p>
      <w:pPr>
        <w:spacing w:line="276" w:lineRule="auto" w:after="120" w:before="0"/>
        <w:ind w:firstLine="425"/>
        <w:jc w:val="both"/>
      </w:pPr>
      <w:r>
        <w:rPr>
          <w:rFonts w:ascii="Times New Roman" w:hAnsi="Times New Roman" w:cs="Times New Roman" w:eastAsia="Times New Roman"/>
          <w:b w:val="0"/>
          <w:i w:val="0"/>
          <w:sz w:val="24"/>
        </w:rPr>
        <w:t>Il registro iscrive nella Tavola Unica, con priorita elevata in ragione della rimediabilita, il censimento dei fondi archivistici delle organizzazioni di partito e assistenziali dei paesi di transito, quale sede documentale primaria e non ancora sistematicamente esplorata dell'infrastruttura di esfiltrazione.</w:t>
      </w:r>
    </w:p>
    <w:p>
      <w:pPr>
        <w:spacing w:line="276" w:lineRule="auto" w:after="240" w:before="0"/>
        <w:ind w:firstLine="425"/>
        <w:jc w:val="both"/>
      </w:pPr>
      <w:r>
        <w:rPr>
          <w:rFonts w:ascii="Times New Roman" w:hAnsi="Times New Roman" w:cs="Times New Roman" w:eastAsia="Times New Roman"/>
          <w:b w:val="0"/>
          <w:i/>
          <w:sz w:val="22"/>
        </w:rPr>
        <w:t>Sintesi del dato nuovo acquisito: si riqualifica la morfologia della rete di esfiltrazione da cellula clandestina a organizzazione assistenziale legale, con conseguente spostamento della sede documentale primaria dagli archivi di sicurezza a quelli delle organizzazioni legali, iscritto in Tavola Unica ad alta rimediabilita.</w:t>
      </w:r>
    </w:p>
    <w:p>
      <w:pPr>
        <w:spacing w:line="276" w:lineRule="auto" w:after="160" w:before="240"/>
        <w:jc w:val="left"/>
      </w:pPr>
      <w:r>
        <w:rPr>
          <w:rFonts w:ascii="Times New Roman" w:hAnsi="Times New Roman" w:cs="Times New Roman" w:eastAsia="Times New Roman"/>
          <w:b/>
          <w:i w:val="0"/>
          <w:sz w:val="26"/>
        </w:rPr>
        <w:t>Blocco XXV — Otto Skorzeny: Madrid, Buenos Aires, Il Cairo, Parigi</w:t>
      </w:r>
    </w:p>
    <w:p>
      <w:pPr>
        <w:spacing w:line="276" w:lineRule="auto" w:after="120" w:before="0"/>
        <w:ind w:firstLine="425"/>
        <w:jc w:val="both"/>
      </w:pPr>
      <w:r>
        <w:rPr>
          <w:rFonts w:ascii="Times New Roman" w:hAnsi="Times New Roman" w:cs="Times New Roman" w:eastAsia="Times New Roman"/>
          <w:b w:val="0"/>
          <w:i w:val="0"/>
          <w:sz w:val="24"/>
        </w:rPr>
        <w:t xml:space="preserve">Otto Skorzeny, l'ufficiale del Gran Sasso e dell'operazione nelle Ardenne, stabilitosi a Madrid, consigliere del presidente argentino, consulente del regime egiziano dal millenovecentocinquantatre, mediatore d'armi per il tramite di una societa di copertura sorvegliata dal servizio federale tedesco e fondatore nel millenovecentosettanta del gruppo paramilitare che ne porta il nome operativo, trova pieno riscontro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La traiettoria e il caso di studio piu completo della sezione quanto al pattern della migrazione inter-dominio. In venticinque anni il soggetto attraversa il dominio militare, il dominio economico attraverso la mediazione d'armi, il dominio politico attraverso la consulenza a due capi di Stato, il dominio dell'intelligence attraverso i rapporti con almeno tre servizi e il dominio dell'eversione attraverso la struttura paramilitare terminale.</w:t>
      </w:r>
    </w:p>
    <w:p>
      <w:pPr>
        <w:spacing w:line="276" w:lineRule="auto" w:after="120" w:before="0"/>
        <w:ind w:firstLine="425"/>
        <w:jc w:val="both"/>
      </w:pPr>
      <w:r>
        <w:rPr>
          <w:rFonts w:ascii="Times New Roman" w:hAnsi="Times New Roman" w:cs="Times New Roman" w:eastAsia="Times New Roman"/>
          <w:b w:val="0"/>
          <w:i w:val="0"/>
          <w:sz w:val="24"/>
        </w:rPr>
        <w:t>La struttura fondata nel millenovecentosettanta costituisce il punto di innesto con il corpus gia acquisito e con la sezione metafisica: essa opera nel medesimo ambiente iberico e nel medesimo torno di anni della centrale di Lisbona, e i suoi rapporti con l'apparato di sicurezza del paese ospitante sono documentati.</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che l'aneddoto relativo alla funzione di guardia del corpo della moglie del presidente argentino e di tradizione pubblicistica e resta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e che restano in quarantena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le catene finanziarie e la voce sull'addestramento del futuro leader palestinese, gia respinte al blocco terzo.</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la traiettoria come caso di studio completo dell'attraversamento di cinque domini in venticinque anni, con innesto documentato sull'ambiente iberico gia federato al corpus.</w:t>
      </w:r>
    </w:p>
    <w:p>
      <w:pPr>
        <w:spacing w:line="276" w:lineRule="auto" w:after="160" w:before="240"/>
        <w:jc w:val="left"/>
      </w:pPr>
      <w:r>
        <w:rPr>
          <w:rFonts w:ascii="Times New Roman" w:hAnsi="Times New Roman" w:cs="Times New Roman" w:eastAsia="Times New Roman"/>
          <w:b/>
          <w:i w:val="0"/>
          <w:sz w:val="26"/>
        </w:rPr>
        <w:t>Blocco XXVI — Il reclutamento israeliano: riscontro incrociato positivo</w:t>
      </w:r>
    </w:p>
    <w:p>
      <w:pPr>
        <w:spacing w:line="276" w:lineRule="auto" w:after="120" w:before="0"/>
        <w:ind w:firstLine="425"/>
        <w:jc w:val="both"/>
      </w:pPr>
      <w:r>
        <w:rPr>
          <w:rFonts w:ascii="Times New Roman" w:hAnsi="Times New Roman" w:cs="Times New Roman" w:eastAsia="Times New Roman"/>
          <w:b w:val="0"/>
          <w:i w:val="0"/>
          <w:sz w:val="24"/>
        </w:rPr>
        <w:t xml:space="preserve">Il reclutamento di Skorzeny da parte del servizio israeliano negli anni Sessanta, nel contesto delle operazioni contro il programma missilistico egiziano condotto da tecnici tedeschi, trova riscontro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ed e qualificato dalla terza nota di verifica come riscontro incrociato positivo, poiche il documento sottoposto a controllo conferma quanto il corpus aveva gia accertato per via autonoma.</w:t>
      </w:r>
    </w:p>
    <w:p>
      <w:pPr>
        <w:spacing w:line="276" w:lineRule="auto" w:after="120" w:before="0"/>
        <w:ind w:firstLine="425"/>
        <w:jc w:val="both"/>
      </w:pPr>
      <w:r>
        <w:rPr>
          <w:rFonts w:ascii="Times New Roman" w:hAnsi="Times New Roman" w:cs="Times New Roman" w:eastAsia="Times New Roman"/>
          <w:b w:val="0"/>
          <w:i w:val="0"/>
          <w:sz w:val="24"/>
        </w:rPr>
        <w:t>Il nodo e conservato in posizione autonoma per due ragioni. La prima e metodologica: esso costituisce il caso in cui la verifica ha prodotto convergenza anziche conflitto, ed e necessario registrarlo con la stessa evidenza con cui si registrano i conflitti, poiche altrimenti il registro delle verifiche restituirebbe una rappresentazione distorta del proprio esito complessivo.</w:t>
      </w:r>
    </w:p>
    <w:p>
      <w:pPr>
        <w:spacing w:line="276" w:lineRule="auto" w:after="120" w:before="0"/>
        <w:ind w:firstLine="425"/>
        <w:jc w:val="both"/>
      </w:pPr>
      <w:r>
        <w:rPr>
          <w:rFonts w:ascii="Times New Roman" w:hAnsi="Times New Roman" w:cs="Times New Roman" w:eastAsia="Times New Roman"/>
          <w:b w:val="0"/>
          <w:i w:val="0"/>
          <w:sz w:val="24"/>
        </w:rPr>
        <w:t>La seconda e sostanziale. Il reclutamento documenta l'utilizzazione operativa di un ex ufficiale delle SS da parte del servizio dello Stato ebraico contro tecnici tedeschi al servizio di uno Stato arabo, ed e la manifestazione piu estrema, nell'intero registro, dell'invariante secondo cui l'utilita operativa prevale su ogni criterio di appartenenza. Il caso e designato come esemplare del pattern e va richiamato ogni volta che un'obiezione di inverosimiglianza ideologica venga opposta a un'ipotesi di cooperazione fra attori dottrinalmente incompatibili.</w:t>
      </w:r>
    </w:p>
    <w:p>
      <w:pPr>
        <w:spacing w:line="276" w:lineRule="auto" w:after="120" w:before="0"/>
        <w:ind w:firstLine="425"/>
        <w:jc w:val="both"/>
      </w:pPr>
      <w:r>
        <w:rPr>
          <w:rFonts w:ascii="Times New Roman" w:hAnsi="Times New Roman" w:cs="Times New Roman" w:eastAsia="Times New Roman"/>
          <w:b w:val="0"/>
          <w:i w:val="0"/>
          <w:sz w:val="24"/>
        </w:rPr>
        <w:t>Il registro rileva che il medesimo teatro egiziano ospitava contestualmente ex nazisti impiegati dal regime locale, il che produce la configurazione di soggetti della medesima provenienza collocati su fronti opposti del medesimo conflitto, con esito che nessuna spiegazione ideologica puo rendere.</w:t>
      </w:r>
    </w:p>
    <w:p>
      <w:pPr>
        <w:spacing w:line="276" w:lineRule="auto" w:after="240" w:before="0"/>
        <w:ind w:firstLine="425"/>
        <w:jc w:val="both"/>
      </w:pPr>
      <w:r>
        <w:rPr>
          <w:rFonts w:ascii="Times New Roman" w:hAnsi="Times New Roman" w:cs="Times New Roman" w:eastAsia="Times New Roman"/>
          <w:b w:val="0"/>
          <w:i/>
          <w:sz w:val="22"/>
        </w:rPr>
        <w:t>Sintesi del dato nuovo acquisito: si designa il caso come esemplare del prevalere dell'utilita operativa su ogni criterio di appartenenza, opponibile a ogni obiezione di inverosimiglianza ideologica, e si registra formalmente l'esito di convergenza della verifica.</w:t>
      </w:r>
    </w:p>
    <w:p>
      <w:pPr>
        <w:spacing w:line="276" w:lineRule="auto" w:after="160" w:before="240"/>
        <w:jc w:val="left"/>
      </w:pPr>
      <w:r>
        <w:rPr>
          <w:rFonts w:ascii="Times New Roman" w:hAnsi="Times New Roman" w:cs="Times New Roman" w:eastAsia="Times New Roman"/>
          <w:b/>
          <w:i w:val="0"/>
          <w:sz w:val="26"/>
        </w:rPr>
        <w:t>Blocco XXVII — Le sigle dell'esfiltrazione come oggetto storiografico dibattuto</w:t>
      </w:r>
    </w:p>
    <w:p>
      <w:pPr>
        <w:spacing w:line="276" w:lineRule="auto" w:after="120" w:before="0"/>
        <w:ind w:firstLine="425"/>
        <w:jc w:val="both"/>
      </w:pPr>
      <w:r>
        <w:rPr>
          <w:rFonts w:ascii="Times New Roman" w:hAnsi="Times New Roman" w:cs="Times New Roman" w:eastAsia="Times New Roman"/>
          <w:b w:val="0"/>
          <w:i w:val="0"/>
          <w:sz w:val="24"/>
        </w:rPr>
        <w:t xml:space="preserve">La rete di espatrio presentata da parte della letteratura come struttura accertata diretta da Skorzeny e artefice della fuga di circa seicento ex ufficiali va tenuta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in conformita alla quarantena disposta dalla terza nota di verifica, poiche esistenza e portata sono dibattute e il consenso degli studiosi tende a considerare tali sigle in parte costruzioni postume.</w:t>
      </w:r>
    </w:p>
    <w:p>
      <w:pPr>
        <w:spacing w:line="276" w:lineRule="auto" w:after="120" w:before="0"/>
        <w:ind w:firstLine="425"/>
        <w:jc w:val="both"/>
      </w:pPr>
      <w:r>
        <w:rPr>
          <w:rFonts w:ascii="Times New Roman" w:hAnsi="Times New Roman" w:cs="Times New Roman" w:eastAsia="Times New Roman"/>
          <w:b w:val="0"/>
          <w:i w:val="0"/>
          <w:sz w:val="24"/>
        </w:rPr>
        <w:t>Il blocco integra il secondo, che ha confutato la sigla unica, estendendo la cautela alle sigle minori. La ragione e identica e va riaffermata: l'esistenza di una denominazione non prova l'esistenza di una struttura, e la ricorrenza della denominazione nella letteratura successiva non e prova ma propagazione, secondo la regola del collasso delle catene.</w:t>
      </w:r>
    </w:p>
    <w:p>
      <w:pPr>
        <w:spacing w:line="276" w:lineRule="auto" w:after="120" w:before="0"/>
        <w:ind w:firstLine="425"/>
        <w:jc w:val="both"/>
      </w:pPr>
      <w:r>
        <w:rPr>
          <w:rFonts w:ascii="Times New Roman" w:hAnsi="Times New Roman" w:cs="Times New Roman" w:eastAsia="Times New Roman"/>
          <w:b w:val="0"/>
          <w:i w:val="0"/>
          <w:sz w:val="24"/>
        </w:rPr>
        <w:t>Il registro formula tuttavia una precisazione necessaria per non incorrere nell'errore opposto. Che la struttura unitaria non sia dimostrata non implica che i fatti attribuitile non siano avvenuti: le esfiltrazioni avvennero e sono documentate una per una. Cio che cade non e il fenomeno bensi l'agente unificato che lo spiegherebbe. La distinzione fra caduta dell'agente e caduta del fenomeno e vincolante e la sua confusione produce, nella pubblicistica revisionista, l'uso della prima per negare il secondo.</w:t>
      </w:r>
    </w:p>
    <w:p>
      <w:pPr>
        <w:spacing w:line="276" w:lineRule="auto" w:after="120" w:before="0"/>
        <w:ind w:firstLine="425"/>
        <w:jc w:val="both"/>
      </w:pPr>
      <w:r>
        <w:rPr>
          <w:rFonts w:ascii="Times New Roman" w:hAnsi="Times New Roman" w:cs="Times New Roman" w:eastAsia="Times New Roman"/>
          <w:b w:val="0"/>
          <w:i w:val="0"/>
          <w:sz w:val="24"/>
        </w:rPr>
        <w:t xml:space="preserve">Va inoltre registrata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e non oltre, l'ipotesi di un arruolamento sistematico di ex appartenenti alle SS come agenti a tempo pieno dell'apparato di sicurezza della Germania orientale, sostenuta ma da maneggiare con cautela secondo la quinta nota di verifica.</w:t>
      </w:r>
    </w:p>
    <w:p>
      <w:pPr>
        <w:spacing w:line="276" w:lineRule="auto" w:after="240" w:before="0"/>
        <w:ind w:firstLine="425"/>
        <w:jc w:val="both"/>
      </w:pPr>
      <w:r>
        <w:rPr>
          <w:rFonts w:ascii="Times New Roman" w:hAnsi="Times New Roman" w:cs="Times New Roman" w:eastAsia="Times New Roman"/>
          <w:b w:val="0"/>
          <w:i/>
          <w:sz w:val="22"/>
        </w:rPr>
        <w:t>Sintesi del dato nuovo acquisito: si estende alle sigle minori la cautela gia disposta per la sigla unica, e si stabilisce come vincolante la distinzione fra caduta dell'agente unificato e caduta del fenomeno, a presidio contro l'uso revisionista della confutazione.</w:t>
      </w:r>
    </w:p>
    <w:p>
      <w:pPr>
        <w:spacing w:line="276" w:lineRule="auto" w:after="160" w:before="240"/>
        <w:jc w:val="left"/>
      </w:pPr>
      <w:r>
        <w:rPr>
          <w:rFonts w:ascii="Times New Roman" w:hAnsi="Times New Roman" w:cs="Times New Roman" w:eastAsia="Times New Roman"/>
          <w:b/>
          <w:i w:val="0"/>
          <w:sz w:val="26"/>
        </w:rPr>
        <w:t>Blocco XXVIII — Degrelle e Cukurs: impunita e giustizia extragiudiziale</w:t>
      </w:r>
    </w:p>
    <w:p>
      <w:pPr>
        <w:spacing w:line="276" w:lineRule="auto" w:after="120" w:before="0"/>
        <w:ind w:firstLine="425"/>
        <w:jc w:val="both"/>
      </w:pPr>
      <w:r>
        <w:rPr>
          <w:rFonts w:ascii="Times New Roman" w:hAnsi="Times New Roman" w:cs="Times New Roman" w:eastAsia="Times New Roman"/>
          <w:b w:val="0"/>
          <w:i w:val="0"/>
          <w:sz w:val="24"/>
        </w:rPr>
        <w:t>Il blocco chiude il teatro iberico accostando due esiti opposti che ne delimitano lo spettro.</w:t>
      </w:r>
    </w:p>
    <w:p>
      <w:pPr>
        <w:spacing w:line="276" w:lineRule="auto" w:after="120" w:before="0"/>
        <w:ind w:firstLine="425"/>
        <w:jc w:val="both"/>
      </w:pPr>
      <w:r>
        <w:rPr>
          <w:rFonts w:ascii="Times New Roman" w:hAnsi="Times New Roman" w:cs="Times New Roman" w:eastAsia="Times New Roman"/>
          <w:b w:val="0"/>
          <w:i w:val="0"/>
          <w:sz w:val="24"/>
        </w:rPr>
        <w:t xml:space="preserve">Leon Degrelle, dopo lo schianto del proprio velivolo a San Sebastian l'otto maggio millenovecentoquarantacinque, ottenne cittadinanza spagnola sotto falso nome nel millenovecentocinquantaquattro e proseguí una militanza negazionista fino alla causa intentatagli nel millenovecentottantacinque da una sopravvissuta.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Il caso documenta l'impunita non come sottrazione all'accertamento ma come sua irrilevanza: l'identita era nota, la militanza pubblica, e nessuna conseguenza ne derivo per quarant'anni.</w:t>
      </w:r>
    </w:p>
    <w:p>
      <w:pPr>
        <w:spacing w:line="276" w:lineRule="auto" w:after="120" w:before="0"/>
        <w:ind w:firstLine="425"/>
        <w:jc w:val="both"/>
      </w:pPr>
      <w:r>
        <w:rPr>
          <w:rFonts w:ascii="Times New Roman" w:hAnsi="Times New Roman" w:cs="Times New Roman" w:eastAsia="Times New Roman"/>
          <w:b w:val="0"/>
          <w:i w:val="0"/>
          <w:sz w:val="24"/>
        </w:rPr>
        <w:t xml:space="preserve">Herberts Cukurs, del commando lettone responsabile di massacri, rifugiatosi in Brasile, fu ucciso in Uruguay nel millenovecentosessantacinque nel corso di un'operazione israeliana.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con la correzione di data disposta dall'ottava nota di verifica, che colloca il fatto al ventitre e non al ventiquattro febbraio, e con l'avvertenza che la modalita della morte resta controversa fra le fonti; il numero delle vittime a lui attribuite resta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Accostati, i due casi delimitano lo spettro degli esiti disponibili: da un lato l'impunita giuridicamente perfetta, dall'altro l'azione extragiudiziale di uno Stato terzo. Il registro rileva che lo spazio intermedio, occupato in un ordinamento funzionante dal procedimento penale ordinario, risulta in questo teatro sostanzialmente vuoto, e qualifica tale vuoto come Stato Zero di natura non documentale ma istituzionale, cioe come assenza verificata di un'istituzione operante e non come assenza di documentazione su di essa.</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la nozione di Stato Zero istituzionale quale assenza verificata dell'istituzione operante, distinta dall'assenza documentale, sulla base del vuoto accertato dello spazio intermedio fra impunita e azione extragiudiziale.</w:t>
      </w:r>
    </w:p>
    <w:p>
      <w:pPr>
        <w:spacing w:line="276" w:lineRule="auto" w:after="160" w:before="240"/>
        <w:jc w:val="left"/>
      </w:pPr>
      <w:r>
        <w:rPr>
          <w:rFonts w:ascii="Times New Roman" w:hAnsi="Times New Roman" w:cs="Times New Roman" w:eastAsia="Times New Roman"/>
          <w:b/>
          <w:i w:val="0"/>
          <w:sz w:val="26"/>
        </w:rPr>
        <w:t>Blocco XXIX — Le vie di fuga come reticolo radicato in istituzioni legali</w:t>
      </w:r>
    </w:p>
    <w:p>
      <w:pPr>
        <w:spacing w:line="276" w:lineRule="auto" w:after="120" w:before="0"/>
        <w:ind w:firstLine="425"/>
        <w:jc w:val="both"/>
      </w:pPr>
      <w:r>
        <w:rPr>
          <w:rFonts w:ascii="Times New Roman" w:hAnsi="Times New Roman" w:cs="Times New Roman" w:eastAsia="Times New Roman"/>
          <w:b w:val="0"/>
          <w:i w:val="0"/>
          <w:sz w:val="24"/>
        </w:rPr>
        <w:t xml:space="preserve">La tesi di fondo condivisa dalla storiografia, e riscontrata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dall'ottava nota di verifica, e che non esistette una struttura unica bensi un reticolo di vie di fuga radicato in istituzioni legali.</w:t>
      </w:r>
    </w:p>
    <w:p>
      <w:pPr>
        <w:spacing w:line="276" w:lineRule="auto" w:after="120" w:before="0"/>
        <w:ind w:firstLine="425"/>
        <w:jc w:val="both"/>
      </w:pPr>
      <w:r>
        <w:rPr>
          <w:rFonts w:ascii="Times New Roman" w:hAnsi="Times New Roman" w:cs="Times New Roman" w:eastAsia="Times New Roman"/>
          <w:b w:val="0"/>
          <w:i w:val="0"/>
          <w:sz w:val="24"/>
        </w:rPr>
        <w:t>L'espressione radicato in istituzioni legali e il cuore del blocco e va analizzata. Essa non afferma che le istituzioni deliberarono l'esfiltrazione; afferma che l'esfiltrazione utilizzo procedure, documenti, sedi e personale di istituzioni regolari, e che senza tale utilizzo non sarebbe stata possibile su scala. Il criterio discriminante non e dunque la deliberazione ma la dipendenza infrastrutturale.</w:t>
      </w:r>
    </w:p>
    <w:p>
      <w:pPr>
        <w:spacing w:line="276" w:lineRule="auto" w:after="120" w:before="0"/>
        <w:ind w:firstLine="425"/>
        <w:jc w:val="both"/>
      </w:pPr>
      <w:r>
        <w:rPr>
          <w:rFonts w:ascii="Times New Roman" w:hAnsi="Times New Roman" w:cs="Times New Roman" w:eastAsia="Times New Roman"/>
          <w:b w:val="0"/>
          <w:i w:val="0"/>
          <w:sz w:val="24"/>
        </w:rPr>
        <w:t>Ne discende il criterio di imputazione che il registro adotta per l'intero teatro. Per ciascuna istituzione coinvolta vanno distinti tre livelli: la deliberazione dell'organo, l'iniziativa autonoma di componenti identificati, e la fornitura passiva di procedure utilizzabili da terzi. I tre livelli comportano gradi probatori e qualificazioni diverse e la loro confusione produce tanto l'accusa indiscriminata quanto la difesa d'ufficio, entrambe vietate dal registro.</w:t>
      </w:r>
    </w:p>
    <w:p>
      <w:pPr>
        <w:spacing w:line="276" w:lineRule="auto" w:after="120" w:before="0"/>
        <w:ind w:firstLine="425"/>
        <w:jc w:val="both"/>
      </w:pPr>
      <w:r>
        <w:rPr>
          <w:rFonts w:ascii="Times New Roman" w:hAnsi="Times New Roman" w:cs="Times New Roman" w:eastAsia="Times New Roman"/>
          <w:b w:val="0"/>
          <w:i w:val="0"/>
          <w:sz w:val="24"/>
        </w:rPr>
        <w:t>Il criterio si applica in particolare al canale ecclesiastico e a quello umanitario, trattati ai due blocchi successivi, per i quali la sezione dichiara espressamente di non uniformare i casi, in conformita al falsificatore designato al blocco quinto, che risulta parzialmente soddisfatto per alcune componenti e non soddisfatto per altre.</w:t>
      </w:r>
    </w:p>
    <w:p>
      <w:pPr>
        <w:spacing w:line="276" w:lineRule="auto" w:after="240" w:before="0"/>
        <w:ind w:firstLine="425"/>
        <w:jc w:val="both"/>
      </w:pPr>
      <w:r>
        <w:rPr>
          <w:rFonts w:ascii="Times New Roman" w:hAnsi="Times New Roman" w:cs="Times New Roman" w:eastAsia="Times New Roman"/>
          <w:b w:val="0"/>
          <w:i/>
          <w:sz w:val="22"/>
        </w:rPr>
        <w:t>Sintesi del dato nuovo acquisito: si adotta come criterio di imputazione per l'intero teatro la distinzione a tre livelli fra deliberazione dell'organo, iniziativa autonoma di componenti identificati e fornitura passiva di procedure, con divieto di uniformare i casi.</w:t>
      </w:r>
    </w:p>
    <w:p>
      <w:pPr>
        <w:spacing w:line="276" w:lineRule="auto" w:after="160" w:before="240"/>
        <w:jc w:val="left"/>
      </w:pPr>
      <w:r>
        <w:rPr>
          <w:rFonts w:ascii="Times New Roman" w:hAnsi="Times New Roman" w:cs="Times New Roman" w:eastAsia="Times New Roman"/>
          <w:b/>
          <w:i w:val="0"/>
          <w:sz w:val="26"/>
        </w:rPr>
        <w:t>Blocco XXX — I due canali romani</w:t>
      </w:r>
    </w:p>
    <w:p>
      <w:pPr>
        <w:spacing w:line="276" w:lineRule="auto" w:after="120" w:before="0"/>
        <w:ind w:firstLine="425"/>
        <w:jc w:val="both"/>
      </w:pPr>
      <w:r>
        <w:rPr>
          <w:rFonts w:ascii="Times New Roman" w:hAnsi="Times New Roman" w:cs="Times New Roman" w:eastAsia="Times New Roman"/>
          <w:b w:val="0"/>
          <w:i w:val="0"/>
          <w:sz w:val="24"/>
        </w:rPr>
        <w:t xml:space="preserve">Trovano riscontro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 due canali romani del clero: quello facente capo al vescovo Alois Hudal presso l'istituto nazionale germanico, e quello facente capo al sacerdote croato Krunoslav Draganovic presso il collegio pontificio di San Girolamo.</w:t>
      </w:r>
    </w:p>
    <w:p>
      <w:pPr>
        <w:spacing w:line="276" w:lineRule="auto" w:after="120" w:before="0"/>
        <w:ind w:firstLine="425"/>
        <w:jc w:val="both"/>
      </w:pPr>
      <w:r>
        <w:rPr>
          <w:rFonts w:ascii="Times New Roman" w:hAnsi="Times New Roman" w:cs="Times New Roman" w:eastAsia="Times New Roman"/>
          <w:b w:val="0"/>
          <w:i w:val="0"/>
          <w:sz w:val="24"/>
        </w:rPr>
        <w:t>L'applicazione del criterio a tre livelli produce, per questi nodi, un esito determinato e va enunciata. Si documenta iniziativa autonoma di componenti identificati, con nome, sede e attivita accertate; non si documenta deliberazione dell'organo di vertice; si documenta fornitura di procedure e sedi istituzionali utilizzate per l'attivita. La qualificazione corretta e dunque al secondo e al terzo livello, non al primo, e ogni formulazione che collochi il fenomeno al primo livello eccede il documentato.</w:t>
      </w:r>
    </w:p>
    <w:p>
      <w:pPr>
        <w:spacing w:line="276" w:lineRule="auto" w:after="120" w:before="0"/>
        <w:ind w:firstLine="425"/>
        <w:jc w:val="both"/>
      </w:pPr>
      <w:r>
        <w:rPr>
          <w:rFonts w:ascii="Times New Roman" w:hAnsi="Times New Roman" w:cs="Times New Roman" w:eastAsia="Times New Roman"/>
          <w:b w:val="0"/>
          <w:i w:val="0"/>
          <w:sz w:val="24"/>
        </w:rPr>
        <w:t>Il registro segnala che tale qualificazione non attenua il rilievo del fatto. Un'istituzione che non delibera ma non impedisce, e le cui sedi e procedure risultano utilizzate per anni da propri componenti identificati, presenta un profilo di responsabilita istituzionale che il diritto conosce e che l'analisi deve registrare. La distinzione serve a qualificare, non ad assolvere.</w:t>
      </w:r>
    </w:p>
    <w:p>
      <w:pPr>
        <w:spacing w:line="276" w:lineRule="auto" w:after="120" w:before="0"/>
        <w:ind w:firstLine="425"/>
        <w:jc w:val="both"/>
      </w:pPr>
      <w:r>
        <w:rPr>
          <w:rFonts w:ascii="Times New Roman" w:hAnsi="Times New Roman" w:cs="Times New Roman" w:eastAsia="Times New Roman"/>
          <w:b w:val="0"/>
          <w:i w:val="0"/>
          <w:sz w:val="24"/>
        </w:rPr>
        <w:t xml:space="preserve">Va registrato inoltre il tariffario attribuito al secondo canale per le esfiltrazioni, che l'ottava nota di verifica impone di trattare come inventario e non come catena di attribuzioni chiuse,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ancorche tratto dai rapporti del controspionaggio.</w:t>
      </w:r>
    </w:p>
    <w:p>
      <w:pPr>
        <w:spacing w:line="276" w:lineRule="auto" w:after="240" w:before="0"/>
        <w:ind w:firstLine="425"/>
        <w:jc w:val="both"/>
      </w:pPr>
      <w:r>
        <w:rPr>
          <w:rFonts w:ascii="Times New Roman" w:hAnsi="Times New Roman" w:cs="Times New Roman" w:eastAsia="Times New Roman"/>
          <w:b w:val="0"/>
          <w:i/>
          <w:sz w:val="22"/>
        </w:rPr>
        <w:t>Sintesi del dato nuovo acquisito: si qualificano i due canali romani al secondo e terzo livello del criterio di imputazione, escludendo il primo, e si precisa che la qualificazione serve a determinare il profilo di responsabilita istituzionale e non ad attenuarlo.</w:t>
      </w:r>
    </w:p>
    <w:p>
      <w:pPr>
        <w:spacing w:line="276" w:lineRule="auto" w:after="160" w:before="240"/>
        <w:jc w:val="left"/>
      </w:pPr>
      <w:r>
        <w:rPr>
          <w:rFonts w:ascii="Times New Roman" w:hAnsi="Times New Roman" w:cs="Times New Roman" w:eastAsia="Times New Roman"/>
          <w:b/>
          <w:i w:val="0"/>
          <w:sz w:val="26"/>
        </w:rPr>
        <w:t>Blocco XXXI — Il documento di viaggio umanitario come passaporto di fatto</w:t>
      </w:r>
    </w:p>
    <w:p>
      <w:pPr>
        <w:spacing w:line="276" w:lineRule="auto" w:after="120" w:before="0"/>
        <w:ind w:firstLine="425"/>
        <w:jc w:val="both"/>
      </w:pPr>
      <w:r>
        <w:rPr>
          <w:rFonts w:ascii="Times New Roman" w:hAnsi="Times New Roman" w:cs="Times New Roman" w:eastAsia="Times New Roman"/>
          <w:b w:val="0"/>
          <w:i w:val="0"/>
          <w:sz w:val="24"/>
        </w:rPr>
        <w:t xml:space="preserve">Trova riscontro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l'uso dei documenti di viaggio emessi dall'organismo umanitario internazionale, lasciapassare che i paesi sudamericani riconoscevano come passaporti di fatto.</w:t>
      </w:r>
    </w:p>
    <w:p>
      <w:pPr>
        <w:spacing w:line="276" w:lineRule="auto" w:after="120" w:before="0"/>
        <w:ind w:firstLine="425"/>
        <w:jc w:val="both"/>
      </w:pPr>
      <w:r>
        <w:rPr>
          <w:rFonts w:ascii="Times New Roman" w:hAnsi="Times New Roman" w:cs="Times New Roman" w:eastAsia="Times New Roman"/>
          <w:b w:val="0"/>
          <w:i w:val="0"/>
          <w:sz w:val="24"/>
        </w:rPr>
        <w:t>Il nodo e il piu istruttivo dell'intero teatro sul piano della meccanica amministrativa e va descritto con precisione. Il documento non era falso: era autentico, emesso dall'organismo competente secondo la propria procedura. Il difetto non risiedeva nel documento bensi nella procedura, che in condizioni di emergenza postbellica ammetteva l'identificazione del richiedente sulla base di dichiarazione e di testimonianza anziche di documentazione anagrafica, poiche la documentazione anagrafica era in larga misura distrutta.</w:t>
      </w:r>
    </w:p>
    <w:p>
      <w:pPr>
        <w:spacing w:line="276" w:lineRule="auto" w:after="120" w:before="0"/>
        <w:ind w:firstLine="425"/>
        <w:jc w:val="both"/>
      </w:pPr>
      <w:r>
        <w:rPr>
          <w:rFonts w:ascii="Times New Roman" w:hAnsi="Times New Roman" w:cs="Times New Roman" w:eastAsia="Times New Roman"/>
          <w:b w:val="0"/>
          <w:i w:val="0"/>
          <w:sz w:val="24"/>
        </w:rPr>
        <w:t xml:space="preserve">Ne discende l'acquisizione centrale del blocco, che 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e ritiene di portata generale: le procedure concepite per la protezione delle vittime in condizioni di collasso documentale sono strutturalmente inservibili a distinguere le vittime dai responsabili, e la loro utilizzazione da parte dei secondi non e abuso della procedura bensi impiego conforme di una procedura la cui premessa era stata resa falsa.</w:t>
      </w:r>
    </w:p>
    <w:p>
      <w:pPr>
        <w:spacing w:line="276" w:lineRule="auto" w:after="120" w:before="0"/>
        <w:ind w:firstLine="425"/>
        <w:jc w:val="both"/>
      </w:pPr>
      <w:r>
        <w:rPr>
          <w:rFonts w:ascii="Times New Roman" w:hAnsi="Times New Roman" w:cs="Times New Roman" w:eastAsia="Times New Roman"/>
          <w:b w:val="0"/>
          <w:i w:val="0"/>
          <w:sz w:val="24"/>
        </w:rPr>
        <w:t>La proposizione ha conseguenze sulla qualificazione dell'organismo emittente e va tratta senza indulgenza in nessuna delle due direzioni: non si documenta deliberazione, si documenta fornitura di procedura, e si documenta altresi che la persistenza della procedura oltre il periodo di effettiva emergenza costituisce omissione autonomamente valutabile.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che le procedure di protezione concepite per il collasso documentale sono strutturalmente incapaci di discriminare vittime e responsabili, e si qualifica come omissione autonoma la loro persistenza oltre il periodo di emergenza.</w:t>
      </w:r>
    </w:p>
    <w:p>
      <w:pPr>
        <w:spacing w:line="276" w:lineRule="auto" w:after="160" w:before="240"/>
        <w:jc w:val="left"/>
      </w:pPr>
      <w:r>
        <w:rPr>
          <w:rFonts w:ascii="Times New Roman" w:hAnsi="Times New Roman" w:cs="Times New Roman" w:eastAsia="Times New Roman"/>
          <w:b/>
          <w:i w:val="0"/>
          <w:sz w:val="26"/>
        </w:rPr>
        <w:t>Blocco XXXII — Il subentro del controspionaggio militare nel millenovecentoquarantasette</w:t>
      </w:r>
    </w:p>
    <w:p>
      <w:pPr>
        <w:spacing w:line="276" w:lineRule="auto" w:after="120" w:before="0"/>
        <w:ind w:firstLine="425"/>
        <w:jc w:val="both"/>
      </w:pPr>
      <w:r>
        <w:rPr>
          <w:rFonts w:ascii="Times New Roman" w:hAnsi="Times New Roman" w:cs="Times New Roman" w:eastAsia="Times New Roman"/>
          <w:b w:val="0"/>
          <w:i w:val="0"/>
          <w:sz w:val="24"/>
        </w:rPr>
        <w:t xml:space="preserve">Trova riscontro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subentro, dal millenovecentoquarantasette, del controspionaggio militare statunitense, che rilevo la rete facente capo al sacerdote croato sotto una propria denominazione operativa.</w:t>
      </w:r>
    </w:p>
    <w:p>
      <w:pPr>
        <w:spacing w:line="276" w:lineRule="auto" w:after="120" w:before="0"/>
        <w:ind w:firstLine="425"/>
        <w:jc w:val="both"/>
      </w:pPr>
      <w:r>
        <w:rPr>
          <w:rFonts w:ascii="Times New Roman" w:hAnsi="Times New Roman" w:cs="Times New Roman" w:eastAsia="Times New Roman"/>
          <w:b w:val="0"/>
          <w:i w:val="0"/>
          <w:sz w:val="24"/>
        </w:rPr>
        <w:t>Il nodo e lo snodo decisivo dell'intero teatro sudamericano e va enunciato senza attenuazioni. A partire da quella data l'infrastruttura di esfiltrazione cessa di essere una rete di solidarieta ideologica o confessionale e diviene strumento di un apparato statale alleato, con propria denominazione, propria catena di comando e propri obiettivi. Ogni ricostruzione che tratti il periodo successivo con le categorie del periodo precedente e strutturalmente errata.</w:t>
      </w:r>
    </w:p>
    <w:p>
      <w:pPr>
        <w:spacing w:line="276" w:lineRule="auto" w:after="120" w:before="0"/>
        <w:ind w:firstLine="425"/>
        <w:jc w:val="both"/>
      </w:pPr>
      <w:r>
        <w:rPr>
          <w:rFonts w:ascii="Times New Roman" w:hAnsi="Times New Roman" w:cs="Times New Roman" w:eastAsia="Times New Roman"/>
          <w:b w:val="0"/>
          <w:i w:val="0"/>
          <w:sz w:val="24"/>
        </w:rPr>
        <w:t>Ne discende una periodizzazione vincolante del teatro in due fasi. La prima, dal millenovecentoquarantacinque al millenovecentoquarantasette, e caratterizzata da iniziative autonome di componenti di istituzioni legali, con moventi confessionali, ideologici o umanitari e con finanziamento privato. La seconda, dal millenovecentoquarantasette in avanti, e caratterizzata dal controllo di un apparato statale, con movente competitivo e finanziamento pubblico. Le due fasi condividono l'infrastruttura e non il movente, ed e la condivisione dell'infrastruttura ad avere reso possibile il subentro senza soluzione di continuita apparente.</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che questa periodizzazione, formulata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ha immediata applicazione retroattiva sulla valutazione dei singoli casi, che vanno collocati nella fase corretta prima di essere qualificati.</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stabilisce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periodizzazione vincolante del teatro in due fasi distinte per movente e finanziamento ma condivise quanto a infrastruttura, con obbligo di collocazione preventiva dei singoli casi.</w:t>
      </w:r>
    </w:p>
    <w:p>
      <w:pPr>
        <w:spacing w:line="276" w:lineRule="auto" w:after="160" w:before="240"/>
        <w:jc w:val="left"/>
      </w:pPr>
      <w:r>
        <w:rPr>
          <w:rFonts w:ascii="Times New Roman" w:hAnsi="Times New Roman" w:cs="Times New Roman" w:eastAsia="Times New Roman"/>
          <w:b/>
          <w:i w:val="0"/>
          <w:sz w:val="26"/>
        </w:rPr>
        <w:t>Blocco XXXIII — Argentina: l'apparato di reclutamento e i suoi esiti</w:t>
      </w:r>
    </w:p>
    <w:p>
      <w:pPr>
        <w:spacing w:line="276" w:lineRule="auto" w:after="120" w:before="0"/>
        <w:ind w:firstLine="425"/>
        <w:jc w:val="both"/>
      </w:pPr>
      <w:r>
        <w:rPr>
          <w:rFonts w:ascii="Times New Roman" w:hAnsi="Times New Roman" w:cs="Times New Roman" w:eastAsia="Times New Roman"/>
          <w:b w:val="0"/>
          <w:i w:val="0"/>
          <w:sz w:val="24"/>
        </w:rPr>
        <w:t xml:space="preserve">L'Argentina costituisce il polo primario del teatro, con apparato di reclutamento facente capo al capitano delle SS Carlos Fuldner e alla sua impresa di copertura, che diede impiego formale ad Adolf Eichmann, successivamente assunto dalla filiale locale di una casa automobilistica tedesca, fino al rapimento a opera del servizio israeliano nel millenovecentosessanta e all'esecuzione in Israele.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Erich Priebke, corresponsabile dell'eccidio delle Fosse Ardeatine, visse per decenni a Bariloche e fu estradato in Italia nel millenovecentonovantacinque.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Il nodo e di rilievo diretto per l'opera, poiche collega il teatro sudamericano al corpus italiano non per analogia ma per identita di soggetto.</w:t>
      </w:r>
    </w:p>
    <w:p>
      <w:pPr>
        <w:spacing w:line="276" w:lineRule="auto" w:after="120" w:before="0"/>
        <w:ind w:firstLine="425"/>
        <w:jc w:val="both"/>
      </w:pPr>
      <w:r>
        <w:rPr>
          <w:rFonts w:ascii="Times New Roman" w:hAnsi="Times New Roman" w:cs="Times New Roman" w:eastAsia="Times New Roman"/>
          <w:b w:val="0"/>
          <w:i w:val="0"/>
          <w:sz w:val="24"/>
        </w:rPr>
        <w:t>L'elemento di maggiore rendimento analitico e l'impiego formale. I soggetti non vissero clandestini: furono assunti da imprese, iscritti a registri, retribuiti e tassati. L'occultamento riguardo l'identita anagrafica e non la presenza fisica ne l'attivita economica, e cio implica che la loro individuazione non richiedeva capacita investigativa straordinaria bensi volonta di verifica anagrafica.</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la durata dell'occultamento in questo teatro e funzione della volonta di verifica e non della qualita della dissimulazione, e ne designa il falsificatore nella dimostrazione che i casi risolti si distinguano da quelli irrisolti per sofisticazione delle identita di copertura anziche per attivazione di un'iniziativa di ricerca.</w:t>
      </w:r>
    </w:p>
    <w:p>
      <w:pPr>
        <w:spacing w:line="276" w:lineRule="auto" w:after="120" w:before="0"/>
        <w:ind w:firstLine="425"/>
        <w:jc w:val="both"/>
      </w:pPr>
      <w:r>
        <w:rPr>
          <w:rFonts w:ascii="Times New Roman" w:hAnsi="Times New Roman" w:cs="Times New Roman" w:eastAsia="Times New Roman"/>
          <w:b w:val="0"/>
          <w:i w:val="0"/>
          <w:sz w:val="24"/>
        </w:rPr>
        <w:t xml:space="preserve">Le stime del numero complessivo dei rifugiati per paese restano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come ordine di grandezza.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tesi secondo cui la durata dell'occultamento fu funzione della volonta di verifica anagrafica e non della qualita della dissimulazione, con falsificatore designato.</w:t>
      </w:r>
    </w:p>
    <w:p>
      <w:pPr>
        <w:spacing w:line="276" w:lineRule="auto" w:after="160" w:before="240"/>
        <w:jc w:val="left"/>
      </w:pPr>
      <w:r>
        <w:rPr>
          <w:rFonts w:ascii="Times New Roman" w:hAnsi="Times New Roman" w:cs="Times New Roman" w:eastAsia="Times New Roman"/>
          <w:b/>
          <w:i w:val="0"/>
          <w:sz w:val="26"/>
        </w:rPr>
        <w:t>Blocco XXXIV — Brasile: impiego industriale e diniego di estradizione</w:t>
      </w:r>
    </w:p>
    <w:p>
      <w:pPr>
        <w:spacing w:line="276" w:lineRule="auto" w:after="120" w:before="0"/>
        <w:ind w:firstLine="425"/>
        <w:jc w:val="both"/>
      </w:pPr>
      <w:r>
        <w:rPr>
          <w:rFonts w:ascii="Times New Roman" w:hAnsi="Times New Roman" w:cs="Times New Roman" w:eastAsia="Times New Roman"/>
          <w:b w:val="0"/>
          <w:i w:val="0"/>
          <w:sz w:val="24"/>
        </w:rPr>
        <w:t xml:space="preserve">Il Brasile costituisce la seconda macro-area del teatro. Franz Stangl, comandante di due campi di sterminio, fu impiegato presso lo stabilimento di una casa automobilistica tedesca nell'area industriale paulista, arrestato nel millenovecentosessantasette ed estradato. Gustav Wagner fu individuato ma la sua estradizione fu negata dalla corte suprema brasiliana. Josef Mengele giunse con documenti dell'organismo umanitario sotto falso nome, si rifugio successivamente in Brasile e vi mori annegato, con identita confermata dal riscontro genetico nel millenovecentonovantadue.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blocco produce un'acquisizione derivata dall'accostamento dei tre casi. Un soggetto individuato e estradato, un soggetto individuato e non estradato, un soggetto non individuato in vita e identificato post mortem: le tre condizioni esauriscono lo spazio degli esiti possibili e consentono di isolare la variabile determinante, che non e l'individuazione ma la decisione dell'ordinamento ospitante successiva ad essa.</w:t>
      </w:r>
    </w:p>
    <w:p>
      <w:pPr>
        <w:spacing w:line="276" w:lineRule="auto" w:after="120" w:before="0"/>
        <w:ind w:firstLine="425"/>
        <w:jc w:val="both"/>
      </w:pPr>
      <w:r>
        <w:rPr>
          <w:rFonts w:ascii="Times New Roman" w:hAnsi="Times New Roman" w:cs="Times New Roman" w:eastAsia="Times New Roman"/>
          <w:b w:val="0"/>
          <w:i w:val="0"/>
          <w:sz w:val="24"/>
        </w:rPr>
        <w:t xml:space="preserve">Ne discende la riqualificazione della sede del problema. Nella fase successiva agli anni Sessanta l'ostacolo alla giustizia non fu prevalentemente informativo bensi giurisdizionale, e la ricerca va indirizzata sugli atti dei procedimenti di estradizione e sulle loro motivazioni anziche sulle vicende dell'occultamento. La proposizione e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e comporta l'iscrizione in Tavola Unica del censimento dei procedimenti di estradizione negati, con le rispettive motivazioni, quale sede documentale accessibile e non sistematicamente esplorata.</w:t>
      </w:r>
    </w:p>
    <w:p>
      <w:pPr>
        <w:spacing w:line="276" w:lineRule="auto" w:after="120" w:before="0"/>
        <w:ind w:firstLine="425"/>
        <w:jc w:val="both"/>
      </w:pPr>
      <w:r>
        <w:rPr>
          <w:rFonts w:ascii="Times New Roman" w:hAnsi="Times New Roman" w:cs="Times New Roman" w:eastAsia="Times New Roman"/>
          <w:b w:val="0"/>
          <w:i w:val="0"/>
          <w:sz w:val="24"/>
        </w:rPr>
        <w:t>Il registro rileva la ricorrenza, in due teatri distinti, dell'impiego presso stabilimenti della medesima industria, e la registra come dato di fatto senza trarne inferenza sulla consapevolezza aziendale, non documentata.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riqualifica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l'ostacolo alla giustizia nella fase successiva agli anni Sessanta come giurisdizionale anziche informativo, e si iscrive in Tavola Unica il censimento dei dinieghi di estradizione e delle relative motivazioni.</w:t>
      </w:r>
    </w:p>
    <w:p>
      <w:pPr>
        <w:spacing w:line="276" w:lineRule="auto" w:after="160" w:before="240"/>
        <w:jc w:val="left"/>
      </w:pPr>
      <w:r>
        <w:rPr>
          <w:rFonts w:ascii="Times New Roman" w:hAnsi="Times New Roman" w:cs="Times New Roman" w:eastAsia="Times New Roman"/>
          <w:b/>
          <w:i w:val="0"/>
          <w:sz w:val="26"/>
        </w:rPr>
        <w:t>Blocco XXXV — Cile: la polizia segreta e l'enclave</w:t>
      </w:r>
    </w:p>
    <w:p>
      <w:pPr>
        <w:spacing w:line="276" w:lineRule="auto" w:after="120" w:before="0"/>
        <w:ind w:firstLine="425"/>
        <w:jc w:val="both"/>
      </w:pPr>
      <w:r>
        <w:rPr>
          <w:rFonts w:ascii="Times New Roman" w:hAnsi="Times New Roman" w:cs="Times New Roman" w:eastAsia="Times New Roman"/>
          <w:b w:val="0"/>
          <w:i w:val="0"/>
          <w:sz w:val="24"/>
        </w:rPr>
        <w:t xml:space="preserve">Il Cile presenta due nodi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Walter Rauff, organizzatore dei furgoni a gas, integrato nell'alta societa locale, collaboratore della polizia segreta del regime militare e onorato di funerale solenne alla propria morte. Paul Schafer, fondatore dell'enclave totalitaria nel sud del paese, successivamente ceduta alla medesima polizia segreta come luogo di detenzione e tortura.</w:t>
      </w:r>
    </w:p>
    <w:p>
      <w:pPr>
        <w:spacing w:line="276" w:lineRule="auto" w:after="120" w:before="0"/>
        <w:ind w:firstLine="425"/>
        <w:jc w:val="both"/>
      </w:pPr>
      <w:r>
        <w:rPr>
          <w:rFonts w:ascii="Times New Roman" w:hAnsi="Times New Roman" w:cs="Times New Roman" w:eastAsia="Times New Roman"/>
          <w:b w:val="0"/>
          <w:i w:val="0"/>
          <w:sz w:val="24"/>
        </w:rPr>
        <w:t>I due nodi documentano il passaggio dalla protezione all'impiego, che costituisce il tratto distintivo di questo teatro rispetto agli altri. Nei casi argentino e brasiliano il rifugiato fu ospitato e impiegato nell'economia civile; qui fu incorporato nell'apparato repressivo dello Stato ospitante, con funzioni corrispondenti a quelle esercitate in precedenza.</w:t>
      </w:r>
    </w:p>
    <w:p>
      <w:pPr>
        <w:spacing w:line="276" w:lineRule="auto" w:after="120" w:before="0"/>
        <w:ind w:firstLine="425"/>
        <w:jc w:val="both"/>
      </w:pPr>
      <w:r>
        <w:rPr>
          <w:rFonts w:ascii="Times New Roman" w:hAnsi="Times New Roman" w:cs="Times New Roman" w:eastAsia="Times New Roman"/>
          <w:b w:val="0"/>
          <w:i w:val="0"/>
          <w:sz w:val="24"/>
        </w:rPr>
        <w:t>Il caso dell'enclave presenta struttura ulteriore e va enunciato nella sua specificita: una comunita chiusa a base religiosa, con regime disciplinare interno totale, fu convertita in infrastruttura repressiva statale conservando la propria forma organizzativa. Si tratta della manifestazione piu compiuta, nell'intero registro, dell'ipotesi formulata nella sezione metafisica sulle strutture politiche a costituzione religiosa, e ne costituisce riscontro parziale: la topologia ivi enunciata — nucleo iniziatico, appartenenza irreversibile, gerarchia carismatica, disciplina sulla vita privata — ricorre integralmente, e la persistenza della struttura sotto mutamento di funzione ne conferma la robustezza.</w:t>
      </w:r>
    </w:p>
    <w:p>
      <w:pPr>
        <w:spacing w:line="276" w:lineRule="auto" w:after="120" w:before="0"/>
        <w:ind w:firstLine="425"/>
        <w:jc w:val="both"/>
      </w:pPr>
      <w:r>
        <w:rPr>
          <w:rFonts w:ascii="Times New Roman" w:hAnsi="Times New Roman" w:cs="Times New Roman" w:eastAsia="Times New Roman"/>
          <w:b w:val="0"/>
          <w:i w:val="0"/>
          <w:sz w:val="24"/>
        </w:rPr>
        <w:t xml:space="preserve">Il registro segnala che tale riscontro, provenendo da un caso non compreso nel campione originario, ha valore corroborativo superiore, ma non eleva la proposizione oltre il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in assenza del test quantitativo gia iscritto in Tavola Unica.</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il passaggio dalla protezione all'impiego repressivo come tratto distintivo del teatro cileno, e si registra un riscontro corroborativo esterno della topologia delle strutture a costituzione religiosa formulata nella sezione metafisica.</w:t>
      </w:r>
    </w:p>
    <w:p>
      <w:pPr>
        <w:spacing w:line="276" w:lineRule="auto" w:after="160" w:before="240"/>
        <w:jc w:val="left"/>
      </w:pPr>
      <w:r>
        <w:rPr>
          <w:rFonts w:ascii="Times New Roman" w:hAnsi="Times New Roman" w:cs="Times New Roman" w:eastAsia="Times New Roman"/>
          <w:b/>
          <w:i w:val="0"/>
          <w:sz w:val="26"/>
        </w:rPr>
        <w:t>Blocco XXXVI — Bolivia: il nodo che salda i tre teatri</w:t>
      </w:r>
    </w:p>
    <w:p>
      <w:pPr>
        <w:spacing w:line="276" w:lineRule="auto" w:after="120" w:before="0"/>
        <w:ind w:firstLine="425"/>
        <w:jc w:val="both"/>
      </w:pPr>
      <w:r>
        <w:rPr>
          <w:rFonts w:ascii="Times New Roman" w:hAnsi="Times New Roman" w:cs="Times New Roman" w:eastAsia="Times New Roman"/>
          <w:b w:val="0"/>
          <w:i w:val="0"/>
          <w:sz w:val="24"/>
        </w:rPr>
        <w:t xml:space="preserve">Klaus Barbie, esfiltrato in Bolivia sotto falso nome e giunto in Sud America nel millenovecentocinquantuno per la rotta del canale romano, vi opero come consulente delle milizie e fu implicato nel colpo di Stato militare del millenovecentottanta, con la partecipazione della milizia paramilitare ivi costituita.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Il blocco costituisce il punto di massima densita federativa dell'intera sezione e va enunciato nella sua composizione. Al medesimo evento del luglio millenovecentottanta concorrono, secondo quanto gia acquisito al corpus: l'ex funzionario della Gestapo esfiltrato per via ecclesiastica e reclutato dal controspionaggio statunitense; un esponente dell'eversione neofascista italiana proveniente dall'ambiente iberico dei santuari; e una struttura operativa proveniente dall'apparato militare argentino.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quanto alla composizione complessiva, con fonte primaria costituita da deposizione resa alla Commissione parlamentare italiana nel millenovecentonovantasette.</w:t>
      </w:r>
    </w:p>
    <w:p>
      <w:pPr>
        <w:spacing w:line="276" w:lineRule="auto" w:after="120" w:before="0"/>
        <w:ind w:firstLine="425"/>
        <w:jc w:val="both"/>
      </w:pPr>
      <w:r>
        <w:rPr>
          <w:rFonts w:ascii="Times New Roman" w:hAnsi="Times New Roman" w:cs="Times New Roman" w:eastAsia="Times New Roman"/>
          <w:b w:val="0"/>
          <w:i w:val="0"/>
          <w:sz w:val="24"/>
        </w:rPr>
        <w:t>L'acquisizione va formulata con precisione e senza eccedere. Non si documenta una struttura unitaria che abbia operato per trentacinque anni: si documenta che tre filiere di origine distinta — la diaspora nazionalsocialista, l'eversione neofascista europea e gli apparati militari del Cono Sud — convergono in un singolo evento databile e localizzabile. La convergenza e il dato; la struttura unitaria non lo e, e la sua postulazione ricadrebbe nell'errore confutato al blocco secondo.</w:t>
      </w:r>
    </w:p>
    <w:p>
      <w:pPr>
        <w:spacing w:line="276" w:lineRule="auto" w:after="120" w:before="0"/>
        <w:ind w:firstLine="425"/>
        <w:jc w:val="both"/>
      </w:pPr>
      <w:r>
        <w:rPr>
          <w:rFonts w:ascii="Times New Roman" w:hAnsi="Times New Roman" w:cs="Times New Roman" w:eastAsia="Times New Roman"/>
          <w:b w:val="0"/>
          <w:i w:val="0"/>
          <w:sz w:val="24"/>
        </w:rPr>
        <w:t>Il registro qualifica l'evento come nodo di massima betweenness centrality dell'intero grafo federato: la sua rimozione disconnetterebbe la sezione sulla diaspora dalla sezione sull'eversione italiana.</w:t>
      </w:r>
    </w:p>
    <w:p>
      <w:pPr>
        <w:spacing w:line="276" w:lineRule="auto" w:after="240" w:before="0"/>
        <w:ind w:firstLine="425"/>
        <w:jc w:val="both"/>
      </w:pPr>
      <w:r>
        <w:rPr>
          <w:rFonts w:ascii="Times New Roman" w:hAnsi="Times New Roman" w:cs="Times New Roman" w:eastAsia="Times New Roman"/>
          <w:b w:val="0"/>
          <w:i/>
          <w:sz w:val="22"/>
        </w:rPr>
        <w:t>Sintesi del dato nuovo acquisito: si qualifica l'evento boliviano del luglio millenovecentottanta come nodo di massima intermediazione del grafo federato, punto di convergenza documentata di tre filiere distinte, con divieto di postulare da esso una struttura unitaria.</w:t>
      </w:r>
    </w:p>
    <w:p>
      <w:pPr>
        <w:spacing w:line="276" w:lineRule="auto" w:after="160" w:before="240"/>
        <w:jc w:val="left"/>
      </w:pPr>
      <w:r>
        <w:rPr>
          <w:rFonts w:ascii="Times New Roman" w:hAnsi="Times New Roman" w:cs="Times New Roman" w:eastAsia="Times New Roman"/>
          <w:b/>
          <w:i w:val="0"/>
          <w:sz w:val="26"/>
        </w:rPr>
        <w:t>Blocco XXXVII — Paraguay, Peru, Uruguay: la periferia e gli archivi</w:t>
      </w:r>
    </w:p>
    <w:p>
      <w:pPr>
        <w:spacing w:line="276" w:lineRule="auto" w:after="120" w:before="0"/>
        <w:ind w:firstLine="425"/>
        <w:jc w:val="both"/>
      </w:pPr>
      <w:r>
        <w:rPr>
          <w:rFonts w:ascii="Times New Roman" w:hAnsi="Times New Roman" w:cs="Times New Roman" w:eastAsia="Times New Roman"/>
          <w:b w:val="0"/>
          <w:i w:val="0"/>
          <w:sz w:val="24"/>
        </w:rPr>
        <w:t xml:space="preserve">Il Paraguay costituisce il caso di massima integrazione fra regime ospitante e ambiente della diaspora, con durata trentacinquennale del regime e con figure di raccordo documentate. La scoperta degli archivi della repressione nel dicembre del millenovecentonovantadue documento anche l'operazione di coordinamento repressivo continentale.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Va registrato che il partito nazista paraguaiano, fondato nel millenovecentoventisette e riconosciuto dalla casa madre due anni dopo, e indicato come il piu antico partito nazista estero, il che conferma per questo teatro la tesi della preesistenza formulata al blocco ventiduesimo.</w:t>
      </w:r>
    </w:p>
    <w:p>
      <w:pPr>
        <w:spacing w:line="276" w:lineRule="auto" w:after="120" w:before="0"/>
        <w:ind w:firstLine="425"/>
        <w:jc w:val="both"/>
      </w:pPr>
      <w:r>
        <w:rPr>
          <w:rFonts w:ascii="Times New Roman" w:hAnsi="Times New Roman" w:cs="Times New Roman" w:eastAsia="Times New Roman"/>
          <w:b w:val="0"/>
          <w:i w:val="0"/>
          <w:sz w:val="24"/>
        </w:rPr>
        <w:t xml:space="preserve">Il Peru presenta il nodo di Friedrich Schwend, organizzatore della falsificazione di valuta britannica nell'ambito dell'operazione condotta durante la guerra, protetto dall'intelligence militare locale.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Il nodo documenta la conversione di una competenza criminale bellica in servizio reso a un apparato statale ospitante, variante economica del passaggio dalla protezione all'impiego gia documentato per il Cile.</w:t>
      </w:r>
    </w:p>
    <w:p>
      <w:pPr>
        <w:spacing w:line="276" w:lineRule="auto" w:after="120" w:before="0"/>
        <w:ind w:firstLine="425"/>
        <w:jc w:val="both"/>
      </w:pPr>
      <w:r>
        <w:rPr>
          <w:rFonts w:ascii="Times New Roman" w:hAnsi="Times New Roman" w:cs="Times New Roman" w:eastAsia="Times New Roman"/>
          <w:b w:val="0"/>
          <w:i w:val="0"/>
          <w:sz w:val="24"/>
        </w:rPr>
        <w:t>La scoperta archivistica paraguaiana ha rendimento metodologico autonomo e va segnalata. Essa avvenne per iniziativa individuale di un ricercatore e non per apertura deliberata dell'istituzione detentrice, il che costituisce ulteriore riscontro della regola strutturale gia acquisita al registro secondo cui nessun archivio di apparato di sicurezza si e aperto volontariamente. Il caso e registrato come conferma indipendente, proveniente da un teatro esterno al campione originario.</w:t>
      </w:r>
    </w:p>
    <w:p>
      <w:pPr>
        <w:spacing w:line="276" w:lineRule="auto" w:after="240" w:before="0"/>
        <w:ind w:firstLine="425"/>
        <w:jc w:val="both"/>
      </w:pPr>
      <w:r>
        <w:rPr>
          <w:rFonts w:ascii="Times New Roman" w:hAnsi="Times New Roman" w:cs="Times New Roman" w:eastAsia="Times New Roman"/>
          <w:b w:val="0"/>
          <w:i/>
          <w:sz w:val="22"/>
        </w:rPr>
        <w:t>Sintesi del dato nuovo acquisito: si acquisisce una conferma indipendente, da teatro esterno al campione, della regola strutturale sulla non volontarieta delle aperture archivistiche, e si registra la conversione della competenza criminale bellica in servizio reso all'apparato ospitante.</w:t>
      </w:r>
    </w:p>
    <w:p>
      <w:pPr>
        <w:spacing w:line="276" w:lineRule="auto" w:after="160" w:before="240"/>
        <w:jc w:val="left"/>
      </w:pPr>
      <w:r>
        <w:rPr>
          <w:rFonts w:ascii="Times New Roman" w:hAnsi="Times New Roman" w:cs="Times New Roman" w:eastAsia="Times New Roman"/>
          <w:b/>
          <w:i w:val="0"/>
          <w:sz w:val="26"/>
        </w:rPr>
        <w:t>Blocco XXXVIII — Sudafrica: l'affinita preesistente e il nazionalismo afrikaner</w:t>
      </w:r>
    </w:p>
    <w:p>
      <w:pPr>
        <w:spacing w:line="276" w:lineRule="auto" w:after="120" w:before="0"/>
        <w:ind w:firstLine="425"/>
        <w:jc w:val="both"/>
      </w:pPr>
      <w:r>
        <w:rPr>
          <w:rFonts w:ascii="Times New Roman" w:hAnsi="Times New Roman" w:cs="Times New Roman" w:eastAsia="Times New Roman"/>
          <w:b w:val="0"/>
          <w:i w:val="0"/>
          <w:sz w:val="24"/>
        </w:rPr>
        <w:t xml:space="preserve">Il teatro sudafricano si distingue da tutti gli altri per un tratto che ne governa l'intera trattazione: l'affinita ideologica non fu prodotta dall'incontro postbellico ma lo precedette di un decennio, radicandosi negli anni Trenta su una matrice condivisa di supremazia razziale e anticomunismo.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quanto alla qualificazione complessiva,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ai singoli nodi.</w:t>
      </w:r>
    </w:p>
    <w:p>
      <w:pPr>
        <w:spacing w:line="276" w:lineRule="auto" w:after="120" w:before="0"/>
        <w:ind w:firstLine="425"/>
        <w:jc w:val="both"/>
      </w:pPr>
      <w:r>
        <w:rPr>
          <w:rFonts w:ascii="Times New Roman" w:hAnsi="Times New Roman" w:cs="Times New Roman" w:eastAsia="Times New Roman"/>
          <w:b w:val="0"/>
          <w:i w:val="0"/>
          <w:sz w:val="24"/>
        </w:rPr>
        <w:t xml:space="preserve">L'organizzazione paramilitare afrikaner attiva durante la guerra, guidata da un dirigente apertamente filotedesco, e documentata nel corpus, cosi come lo e la successiva integrazione istituzionale di suoi appartenenti: un futuro capo del governo fu internato durante la guerra per l'appartenenza a quell'ambiente.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La conseguenza strutturale va enunciata perche modifica la qualificazione dell'intero teatro. Altrove la diaspora cerco rifugio presso regimi che le erano affini; qui la diaspora si innesto su un movimento nazionale che aveva gia elaborato in forma autonoma un programma razziale e che assunse il potere per via elettorale nel millenovecentoquarantotto. Il rapporto non e dunque di ospitalita ma di convergenza fra due elaborazioni parallele, e la direzione del trasferimento risulta in parte invertita rispetto agli altri teatri.</w:t>
      </w:r>
    </w:p>
    <w:p>
      <w:pPr>
        <w:spacing w:line="276" w:lineRule="auto" w:after="120" w:before="0"/>
        <w:ind w:firstLine="425"/>
        <w:jc w:val="both"/>
      </w:pPr>
      <w:r>
        <w:rPr>
          <w:rFonts w:ascii="Times New Roman" w:hAnsi="Times New Roman" w:cs="Times New Roman" w:eastAsia="Times New Roman"/>
          <w:b w:val="0"/>
          <w:i w:val="0"/>
          <w:sz w:val="24"/>
        </w:rPr>
        <w:t>Il registro segnala che questa configurazione impone particolare rigore nell'attribuzione causale: la politica razziale sudafricana non richiede il contributo della diaspora per essere spiegata, disponendo di genealogia interna documentata, e ogni affermazione di derivazione va sostenuta su base documentale specifica e non su base di somiglianza.</w:t>
      </w:r>
    </w:p>
    <w:p>
      <w:pPr>
        <w:spacing w:line="276" w:lineRule="auto" w:after="240" w:before="0"/>
        <w:ind w:firstLine="425"/>
        <w:jc w:val="both"/>
      </w:pPr>
      <w:r>
        <w:rPr>
          <w:rFonts w:ascii="Times New Roman" w:hAnsi="Times New Roman" w:cs="Times New Roman" w:eastAsia="Times New Roman"/>
          <w:b w:val="0"/>
          <w:i/>
          <w:sz w:val="22"/>
        </w:rPr>
        <w:t>Sintesi del dato nuovo acquisito: si qualifica il rapporto del teatro sudafricano come convergenza fra elaborazioni parallele anziche come ospitalita, con conseguente onere rafforzato di prova per ogni attribuzione di derivazione.</w:t>
      </w:r>
    </w:p>
    <w:p>
      <w:pPr>
        <w:spacing w:line="276" w:lineRule="auto" w:after="160" w:before="240"/>
        <w:jc w:val="left"/>
      </w:pPr>
      <w:r>
        <w:rPr>
          <w:rFonts w:ascii="Times New Roman" w:hAnsi="Times New Roman" w:cs="Times New Roman" w:eastAsia="Times New Roman"/>
          <w:b/>
          <w:i w:val="0"/>
          <w:sz w:val="26"/>
        </w:rPr>
        <w:t>Blocco XXXIX — La rete di spionaggio e l'operazione contro il capo del governo</w:t>
      </w:r>
    </w:p>
    <w:p>
      <w:pPr>
        <w:spacing w:line="276" w:lineRule="auto" w:after="120" w:before="0"/>
        <w:ind w:firstLine="425"/>
        <w:jc w:val="both"/>
      </w:pPr>
      <w:r>
        <w:rPr>
          <w:rFonts w:ascii="Times New Roman" w:hAnsi="Times New Roman" w:cs="Times New Roman" w:eastAsia="Times New Roman"/>
          <w:b w:val="0"/>
          <w:i w:val="0"/>
          <w:sz w:val="24"/>
        </w:rPr>
        <w:t xml:space="preserve">Il corpus documenta l'esistenza di una rete informativa tedesca operante nel paese attraverso il personale consolare e i suoi fiduciari, e di un'operazione avente per obiettivo il rovesciamento del governo in carica, con l'invio di un agente addestrato in Germania e infiltrato via mare. Il grado e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trattandosi di ricostruzione fondata su letteratura specialistica e su atti processuali interni.</w:t>
      </w:r>
    </w:p>
    <w:p>
      <w:pPr>
        <w:spacing w:line="276" w:lineRule="auto" w:after="120" w:before="0"/>
        <w:ind w:firstLine="425"/>
        <w:jc w:val="both"/>
      </w:pPr>
      <w:r>
        <w:rPr>
          <w:rFonts w:ascii="Times New Roman" w:hAnsi="Times New Roman" w:cs="Times New Roman" w:eastAsia="Times New Roman"/>
          <w:b w:val="0"/>
          <w:i w:val="0"/>
          <w:sz w:val="24"/>
        </w:rPr>
        <w:t>Il nodo ha rendimento specifico per il registro perche documenta che l'attivita tedesca nel paese non fu esclusivamente ideologica o economica ma comprese progettualita eversiva diretta contro un governo alleato, con impiego di agente e struttura di supporto locale. La configurazione anticipa, per struttura, quella che il registro documenta altrove in tempo di pace: agente esterno, ambiente locale ricettivo, obiettivo di mutamento di regime.</w:t>
      </w:r>
    </w:p>
    <w:p>
      <w:pPr>
        <w:spacing w:line="276" w:lineRule="auto" w:after="120" w:before="0"/>
        <w:ind w:firstLine="425"/>
        <w:jc w:val="both"/>
      </w:pPr>
      <w:r>
        <w:rPr>
          <w:rFonts w:ascii="Times New Roman" w:hAnsi="Times New Roman" w:cs="Times New Roman" w:eastAsia="Times New Roman"/>
          <w:b w:val="0"/>
          <w:i w:val="0"/>
          <w:sz w:val="24"/>
        </w:rPr>
        <w:t>L'esito fallimentare dell'operazione e a sua volta significativo, poiche l'agente fu processato e condannato e beneficio successivamente di provvedimenti di clemenza intervenuti dopo il mutamento di governo. La sequenza — condanna sotto un governo, clemenza sotto il successore — documenta che la valutazione giuridica del medesimo fatto muto con il mutamento della maggioranza politica, il che costituisce, in forma particolarmente netta, il pattern della dipendenza dell'accertamento dalla congiuntura politica gia rilevato in altri teatri.</w:t>
      </w:r>
    </w:p>
    <w:p>
      <w:pPr>
        <w:spacing w:line="276" w:lineRule="auto" w:after="120" w:before="0"/>
        <w:ind w:firstLine="425"/>
        <w:jc w:val="both"/>
      </w:pPr>
      <w:r>
        <w:rPr>
          <w:rFonts w:ascii="Times New Roman" w:hAnsi="Times New Roman" w:cs="Times New Roman" w:eastAsia="Times New Roman"/>
          <w:b w:val="0"/>
          <w:i w:val="0"/>
          <w:sz w:val="24"/>
        </w:rPr>
        <w:t xml:space="preserve">Il registro mantiene il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e segnala che la documentazione primaria di questa vicenda si trova negli archivi giudiziari e militari nazionali, con sede determinata e condizione di consultabilita enunciabile: la lacuna e percio rimediabile e si iscrive in Tavola Unica.</w:t>
      </w:r>
    </w:p>
    <w:p>
      <w:pPr>
        <w:spacing w:line="276" w:lineRule="auto" w:after="240" w:before="0"/>
        <w:ind w:firstLine="425"/>
        <w:jc w:val="both"/>
      </w:pPr>
      <w:r>
        <w:rPr>
          <w:rFonts w:ascii="Times New Roman" w:hAnsi="Times New Roman" w:cs="Times New Roman" w:eastAsia="Times New Roman"/>
          <w:b w:val="0"/>
          <w:i/>
          <w:sz w:val="22"/>
        </w:rPr>
        <w:t>Sintesi del dato nuovo acquisito: si documenta la progettualita eversiva diretta contro un governo alleato quale componente dell'attivita tedesca nel teatro, e si registra il mutamento della valutazione giuridica del medesimo fatto in funzione del mutamento della maggioranza politica.</w:t>
      </w:r>
    </w:p>
    <w:p>
      <w:pPr>
        <w:spacing w:line="276" w:lineRule="auto" w:after="160" w:before="240"/>
        <w:jc w:val="left"/>
      </w:pPr>
      <w:r>
        <w:rPr>
          <w:rFonts w:ascii="Times New Roman" w:hAnsi="Times New Roman" w:cs="Times New Roman" w:eastAsia="Times New Roman"/>
          <w:b/>
          <w:i w:val="0"/>
          <w:sz w:val="26"/>
        </w:rPr>
        <w:t>Blocco XL — L'amnistia e l'integrazione istituzionale</w:t>
      </w:r>
    </w:p>
    <w:p>
      <w:pPr>
        <w:spacing w:line="276" w:lineRule="auto" w:after="120" w:before="0"/>
        <w:ind w:firstLine="425"/>
        <w:jc w:val="both"/>
      </w:pPr>
      <w:r>
        <w:rPr>
          <w:rFonts w:ascii="Times New Roman" w:hAnsi="Times New Roman" w:cs="Times New Roman" w:eastAsia="Times New Roman"/>
          <w:b w:val="0"/>
          <w:i w:val="0"/>
          <w:sz w:val="24"/>
        </w:rPr>
        <w:t xml:space="preserve">Il corpus documenta i provvedimenti di clemenza successivi al mutamento di governo del millenovecentoquarantotto e la successiva integrazione, nell'apparato statale, di soggetti provenienti dall'ambiente filotedesco.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all'ascesa elettorale e alla successiva politica di segregazione istituzionalizzata,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quanto alla ricostruzione analitica dei singoli percorsi individuali.</w:t>
      </w:r>
    </w:p>
    <w:p>
      <w:pPr>
        <w:spacing w:line="276" w:lineRule="auto" w:after="120" w:before="0"/>
        <w:ind w:firstLine="425"/>
        <w:jc w:val="both"/>
      </w:pPr>
      <w:r>
        <w:rPr>
          <w:rFonts w:ascii="Times New Roman" w:hAnsi="Times New Roman" w:cs="Times New Roman" w:eastAsia="Times New Roman"/>
          <w:b w:val="0"/>
          <w:i w:val="0"/>
          <w:sz w:val="24"/>
        </w:rPr>
        <w:t>Il blocco produce l'acquisizione centrale del teatro. Altrove l'integrazione dei soggetti compromessi avvenne per via amministrativa e occulta, mediante bonifica dei fascicoli o estensione di categorie giuridiche; qui avvenne per via politica ed esplicita, in forza di un mutamento di maggioranza che rese la precedente qualificazione penale politicamente insostenibile. Non vi fu occultamento perche non ve ne era necessita.</w:t>
      </w:r>
    </w:p>
    <w:p>
      <w:pPr>
        <w:spacing w:line="276" w:lineRule="auto" w:after="120" w:before="0"/>
        <w:ind w:firstLine="425"/>
        <w:jc w:val="both"/>
      </w:pPr>
      <w:r>
        <w:rPr>
          <w:rFonts w:ascii="Times New Roman" w:hAnsi="Times New Roman" w:cs="Times New Roman" w:eastAsia="Times New Roman"/>
          <w:b w:val="0"/>
          <w:i w:val="0"/>
          <w:sz w:val="24"/>
        </w:rPr>
        <w:t xml:space="preserve">Ne discende una tipologia a tre voci dei meccanismi di reintegrazione documentati nella sezione, che il registro adotta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reintegrazione amministrativa mediante alterazione della base documentale, propria del teatro statunitense; reintegrazione giuridica mediante estensione di categoria, propria del teatro sovietico; reintegrazione politica mediante mutamento della maggioranza, propria del teatro sudafricano. Il teatro iberico non presenta reintegrazione perche non presenta esclusione iniziale.</w:t>
      </w:r>
    </w:p>
    <w:p>
      <w:pPr>
        <w:spacing w:line="276" w:lineRule="auto" w:after="120" w:before="0"/>
        <w:ind w:firstLine="425"/>
        <w:jc w:val="both"/>
      </w:pPr>
      <w:r>
        <w:rPr>
          <w:rFonts w:ascii="Times New Roman" w:hAnsi="Times New Roman" w:cs="Times New Roman" w:eastAsia="Times New Roman"/>
          <w:b w:val="0"/>
          <w:i w:val="0"/>
          <w:sz w:val="24"/>
        </w:rPr>
        <w:t>La tipologia ha valore diagnostico prospettico: essa predice quale sede documentale conservi la traccia della reintegrazione in ciascun tipo, rispettivamente i fascicoli personali, gli atti normativi e i verbali parlamentari, orientando la ricerca.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tipologia a tre voci dei meccanismi di reintegrazione — amministrativa, giuridica e politica — con indicazione della sede documentale corrispondente a ciascun tipo.</w:t>
      </w:r>
    </w:p>
    <w:p>
      <w:pPr>
        <w:spacing w:line="276" w:lineRule="auto" w:after="160" w:before="240"/>
        <w:jc w:val="left"/>
      </w:pPr>
      <w:r>
        <w:rPr>
          <w:rFonts w:ascii="Times New Roman" w:hAnsi="Times New Roman" w:cs="Times New Roman" w:eastAsia="Times New Roman"/>
          <w:b/>
          <w:i w:val="0"/>
          <w:sz w:val="26"/>
        </w:rPr>
        <w:t>Blocco XLI — L'asse industriale e la sintesi dei carburanti</w:t>
      </w:r>
    </w:p>
    <w:p>
      <w:pPr>
        <w:spacing w:line="276" w:lineRule="auto" w:after="120" w:before="0"/>
        <w:ind w:firstLine="425"/>
        <w:jc w:val="both"/>
      </w:pPr>
      <w:r>
        <w:rPr>
          <w:rFonts w:ascii="Times New Roman" w:hAnsi="Times New Roman" w:cs="Times New Roman" w:eastAsia="Times New Roman"/>
          <w:b w:val="0"/>
          <w:i w:val="0"/>
          <w:sz w:val="24"/>
        </w:rPr>
        <w:t xml:space="preserve">Il corpus documenta la relazione fra il complesso chimico tedesco e lo sviluppo dell'industria sudafricana dei carburanti sintetici, fondata sul processo di sintesi elaborato in Germania negli anni Venti e applicato su scala industriale nel paese a partire dal secondo dopoguerra.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quanto all'origine tecnologica del processo,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quanto alla ricostruzione dei canali di trasferimento e dei rapporti finanziari.</w:t>
      </w:r>
    </w:p>
    <w:p>
      <w:pPr>
        <w:spacing w:line="276" w:lineRule="auto" w:after="120" w:before="0"/>
        <w:ind w:firstLine="425"/>
        <w:jc w:val="both"/>
      </w:pPr>
      <w:r>
        <w:rPr>
          <w:rFonts w:ascii="Times New Roman" w:hAnsi="Times New Roman" w:cs="Times New Roman" w:eastAsia="Times New Roman"/>
          <w:b w:val="0"/>
          <w:i w:val="0"/>
          <w:sz w:val="24"/>
        </w:rPr>
        <w:t>Il nodo ha rilievo strategico superiore alla sua apparenza tecnica e va enunciato. La capacita di produrre carburanti da carbone conferi al paese l'autonomia energetica che rese sostenibile, per decenni, l'isolamento internazionale e il regime di sanzioni. La tecnologia era stata sviluppata in Germania per la medesima ragione, cioe per rendere sostenibile un'economia di guerra priva di accesso al petrolio. Si documenta dunque il trasferimento non di un prodotto ma di una soluzione a un problema strategico identico.</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i trasferimenti tecnologici piu duraturi della sezione sono quelli in cui il paese ricevente condivideva con il paese di origine la condizione strategica che aveva generato la tecnologia, e ne designa il falsificatore nella dimostrazione di trasferimenti di pari durata in assenza di tale condivisione.</w:t>
      </w:r>
    </w:p>
    <w:p>
      <w:pPr>
        <w:spacing w:line="276" w:lineRule="auto" w:after="120" w:before="0"/>
        <w:ind w:firstLine="425"/>
        <w:jc w:val="both"/>
      </w:pPr>
      <w:r>
        <w:rPr>
          <w:rFonts w:ascii="Times New Roman" w:hAnsi="Times New Roman" w:cs="Times New Roman" w:eastAsia="Times New Roman"/>
          <w:b w:val="0"/>
          <w:i w:val="0"/>
          <w:sz w:val="24"/>
        </w:rPr>
        <w:t>La proposizione ha applicazione retroattiva sui teatri precedenti e vi risulta coerente: la tecnologia balistica fu trasferita a potenze che condividevano il problema della proiezione a lunga distanza, quella nucleare a potenze che condividevano il problema del monopolio avversario.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formula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tesi secondo cui la durata dei trasferimenti tecnologici e funzione della condivisione, fra origine e destinazione, della condizione strategica generatrice della tecnologia, con falsificatore designato e verifica retroattiva coerente.</w:t>
      </w:r>
    </w:p>
    <w:p>
      <w:pPr>
        <w:spacing w:line="276" w:lineRule="auto" w:after="160" w:before="240"/>
        <w:jc w:val="left"/>
      </w:pPr>
      <w:r>
        <w:rPr>
          <w:rFonts w:ascii="Times New Roman" w:hAnsi="Times New Roman" w:cs="Times New Roman" w:eastAsia="Times New Roman"/>
          <w:b/>
          <w:i w:val="0"/>
          <w:sz w:val="26"/>
        </w:rPr>
        <w:t>Blocco XLII — Il programma di guerra chimica e biologica</w:t>
      </w:r>
    </w:p>
    <w:p>
      <w:pPr>
        <w:spacing w:line="276" w:lineRule="auto" w:after="120" w:before="0"/>
        <w:ind w:firstLine="425"/>
        <w:jc w:val="both"/>
      </w:pPr>
      <w:r>
        <w:rPr>
          <w:rFonts w:ascii="Times New Roman" w:hAnsi="Times New Roman" w:cs="Times New Roman" w:eastAsia="Times New Roman"/>
          <w:b w:val="0"/>
          <w:i w:val="0"/>
          <w:sz w:val="24"/>
        </w:rPr>
        <w:t xml:space="preserve">Il corpus documenta l'esistenza di un programma nazionale di guerra chimica e biologica sviluppato negli anni Ottanta, sottoposto successivamente ad accertamento giudiziario e a inchiesta della commissione nazionale per la verita. Il grado dell'esistenza del programma e degli accertamenti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il grado delle ricostruzioni relative a una derivazione diretta da precedenti programmi tedeschi e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 xml:space="preserve">Il registro dichiara espressamente il declassamento e ne enuncia la ragione. La somiglianza fra programmi di ricerca su agenti tossici condotti da apparati statali in epoche diverse non costituisce prova di derivazione, poiche la letteratura scientifica di riferimento era in larga parte pubblica e i problemi tecnici affrontati sono i medesimi indipendentemente dalla filiazione. In assenza di documentazione di trasferimento di persone, di protocolli o di materiali, l'ipotesi di derivazione resta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e non e ammessa in catena inferenziale.</w:t>
      </w:r>
    </w:p>
    <w:p>
      <w:pPr>
        <w:spacing w:line="276" w:lineRule="auto" w:after="120" w:before="0"/>
        <w:ind w:firstLine="425"/>
        <w:jc w:val="both"/>
      </w:pPr>
      <w:r>
        <w:rPr>
          <w:rFonts w:ascii="Times New Roman" w:hAnsi="Times New Roman" w:cs="Times New Roman" w:eastAsia="Times New Roman"/>
          <w:b w:val="0"/>
          <w:i w:val="0"/>
          <w:sz w:val="24"/>
        </w:rPr>
        <w:t>Il blocco e conservato in questa forma perche costituisce, nell'intera sezione, il principale esercizio di autolimitazione: il materiale disponibile consentirebbe una narrazione di continuita suggestiva e non documentata, e la sua esclusione e essa stessa risultato analitico. La disciplina applicata e quella del divieto di inferenza dalla somiglianza, gia formalizzata per il campo simbolico nella sezione metafisica e qui estesa al campo tecnico-scientifico.</w:t>
      </w:r>
    </w:p>
    <w:p>
      <w:pPr>
        <w:spacing w:line="276" w:lineRule="auto" w:after="120" w:before="0"/>
        <w:ind w:firstLine="425"/>
        <w:jc w:val="both"/>
      </w:pPr>
      <w:r>
        <w:rPr>
          <w:rFonts w:ascii="Times New Roman" w:hAnsi="Times New Roman" w:cs="Times New Roman" w:eastAsia="Times New Roman"/>
          <w:b w:val="0"/>
          <w:i w:val="0"/>
          <w:sz w:val="24"/>
        </w:rPr>
        <w:t xml:space="preserve">Restano acquisiti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 fatti relativi al programma in se, che appartengono al registro per proprio titolo e non in ragione di una derivazione non dimostrata.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declassa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xml:space="preserve"> l'ipotesi di derivazione diretta del programma nazionale da precedenti tedeschi, e si estende al campo tecnico-scientifico il divieto di inferenza dalla somiglianza gia formalizzato per il campo simbolico.</w:t>
      </w:r>
    </w:p>
    <w:p>
      <w:pPr>
        <w:spacing w:line="276" w:lineRule="auto" w:after="160" w:before="240"/>
        <w:jc w:val="left"/>
      </w:pPr>
      <w:r>
        <w:rPr>
          <w:rFonts w:ascii="Times New Roman" w:hAnsi="Times New Roman" w:cs="Times New Roman" w:eastAsia="Times New Roman"/>
          <w:b/>
          <w:i w:val="0"/>
          <w:sz w:val="26"/>
        </w:rPr>
        <w:t>Blocco XLIII — Il trasferimento del quadro giuridico razziale</w:t>
      </w:r>
    </w:p>
    <w:p>
      <w:pPr>
        <w:spacing w:line="276" w:lineRule="auto" w:after="120" w:before="0"/>
        <w:ind w:firstLine="425"/>
        <w:jc w:val="both"/>
      </w:pPr>
      <w:r>
        <w:rPr>
          <w:rFonts w:ascii="Times New Roman" w:hAnsi="Times New Roman" w:cs="Times New Roman" w:eastAsia="Times New Roman"/>
          <w:b w:val="0"/>
          <w:i w:val="0"/>
          <w:sz w:val="24"/>
        </w:rPr>
        <w:t xml:space="preserve">Il corpus documenta la circolazione internazionale, negli anni Trenta, dei modelli giuridici di segregazione, e in particolare lo studio da parte di giuristi tedeschi della legislazione segregazionista statunitense in sede di elaborazione della normativa razziale del Reich. Il grado e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trattandosi di materia oggetto di letteratura accademica consolidata e di documentazione primaria.</w:t>
      </w:r>
    </w:p>
    <w:p>
      <w:pPr>
        <w:spacing w:line="276" w:lineRule="auto" w:after="120" w:before="0"/>
        <w:ind w:firstLine="425"/>
        <w:jc w:val="both"/>
      </w:pPr>
      <w:r>
        <w:rPr>
          <w:rFonts w:ascii="Times New Roman" w:hAnsi="Times New Roman" w:cs="Times New Roman" w:eastAsia="Times New Roman"/>
          <w:b w:val="0"/>
          <w:i w:val="0"/>
          <w:sz w:val="24"/>
        </w:rPr>
        <w:t>Il nodo e collocato in questa sezione perche produce l'inversione piu significativa dell'intero registro. La direzione del trasferimento qui documentata non muove dalla Germania verso l'esterno bensi dall'esterno verso la Germania, e precede la guerra anziche seguirla. Ne discende che la genealogia dei quadri normativi razziali del Novecento non e riducibile a un'origine unica e presenta struttura reticolare con circolazione bidirezionale.</w:t>
      </w:r>
    </w:p>
    <w:p>
      <w:pPr>
        <w:spacing w:line="276" w:lineRule="auto" w:after="120" w:before="0"/>
        <w:ind w:firstLine="425"/>
        <w:jc w:val="both"/>
      </w:pPr>
      <w:r>
        <w:rPr>
          <w:rFonts w:ascii="Times New Roman" w:hAnsi="Times New Roman" w:cs="Times New Roman" w:eastAsia="Times New Roman"/>
          <w:b w:val="0"/>
          <w:i w:val="0"/>
          <w:sz w:val="24"/>
        </w:rPr>
        <w:t>La conseguenza per l'architettura della sezione va enunciata. Il teatro sudafricano non e terminale di una diffusione che parte dalla Germania: e un nodo di una rete di circolazione giuridica in cui la Germania fu a sua volta ricevente. La qualificazione modifica la struttura del grafo, che in questa porzione non e albero ma ciclo.</w:t>
      </w:r>
    </w:p>
    <w:p>
      <w:pPr>
        <w:spacing w:line="276" w:lineRule="auto" w:after="120" w:before="0"/>
        <w:ind w:firstLine="425"/>
        <w:jc w:val="both"/>
      </w:pPr>
      <w:r>
        <w:rPr>
          <w:rFonts w:ascii="Times New Roman" w:hAnsi="Times New Roman" w:cs="Times New Roman" w:eastAsia="Times New Roman"/>
          <w:b w:val="0"/>
          <w:i w:val="0"/>
          <w:sz w:val="24"/>
        </w:rPr>
        <w:t>Il registro segnala che tale acquisizione non attenua alcuna responsabilita, poiche la ricezione di un modello e atto proprio di chi lo recepisce, e che essa serve esclusivamente a correggere la topologia del grafo, la cui accuratezza e condizione di ogni analisi successiva.</w:t>
      </w:r>
    </w:p>
    <w:p>
      <w:pPr>
        <w:spacing w:line="276" w:lineRule="auto" w:after="240" w:before="0"/>
        <w:ind w:firstLine="425"/>
        <w:jc w:val="both"/>
      </w:pPr>
      <w:r>
        <w:rPr>
          <w:rFonts w:ascii="Times New Roman" w:hAnsi="Times New Roman" w:cs="Times New Roman" w:eastAsia="Times New Roman"/>
          <w:b w:val="0"/>
          <w:i/>
          <w:sz w:val="22"/>
        </w:rPr>
        <w:t>Sintesi del dato nuovo acquisito: si documenta la circolazione bidirezionale dei modelli giuridici razziali e si corregge conseguentemente la topologia della sezione, che in questa porzione presenta struttura ciclica e non arborescente.</w:t>
      </w:r>
    </w:p>
    <w:p>
      <w:pPr>
        <w:spacing w:line="276" w:lineRule="auto" w:after="160" w:before="240"/>
        <w:jc w:val="left"/>
      </w:pPr>
      <w:r>
        <w:rPr>
          <w:rFonts w:ascii="Times New Roman" w:hAnsi="Times New Roman" w:cs="Times New Roman" w:eastAsia="Times New Roman"/>
          <w:b/>
          <w:i w:val="0"/>
          <w:sz w:val="26"/>
        </w:rPr>
        <w:t>Blocco XLIV — L'associazione assistenziale e la revoca del riconoscimento</w:t>
      </w:r>
    </w:p>
    <w:p>
      <w:pPr>
        <w:spacing w:line="276" w:lineRule="auto" w:after="120" w:before="0"/>
        <w:ind w:firstLine="425"/>
        <w:jc w:val="both"/>
      </w:pPr>
      <w:r>
        <w:rPr>
          <w:rFonts w:ascii="Times New Roman" w:hAnsi="Times New Roman" w:cs="Times New Roman" w:eastAsia="Times New Roman"/>
          <w:b w:val="0"/>
          <w:i w:val="0"/>
          <w:sz w:val="24"/>
        </w:rPr>
        <w:t xml:space="preserve">Trova riscontro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l'associazione di soccorso fondata nel millenovecentocinquantuno da un nucleo aristocratico e clericale, successivamente guidata dalla figlia di un gerarca di primissimo piano, e privata del riconoscimento giuridico soltanto nel millenovecentonovantanove.</w:t>
      </w:r>
    </w:p>
    <w:p>
      <w:pPr>
        <w:spacing w:line="276" w:lineRule="auto" w:after="120" w:before="0"/>
        <w:ind w:firstLine="425"/>
        <w:jc w:val="both"/>
      </w:pPr>
      <w:r>
        <w:rPr>
          <w:rFonts w:ascii="Times New Roman" w:hAnsi="Times New Roman" w:cs="Times New Roman" w:eastAsia="Times New Roman"/>
          <w:b w:val="0"/>
          <w:i w:val="0"/>
          <w:sz w:val="24"/>
        </w:rPr>
        <w:t>La data della revoca e il dato analiticamente decisivo e va isolata. Un'associazione costituita per l'assistenza a condannati e imputati per crimini contro l'umanita conservo per quarantotto anni il riconoscimento giuridico e i benefici a esso connessi in un ordinamento democratico, e lo perse in ragione di un mutamento di valutazione amministrativa e non di nuove acquisizioni sui suoi scopi, che erano dichiarati e noti.</w:t>
      </w:r>
    </w:p>
    <w:p>
      <w:pPr>
        <w:spacing w:line="276" w:lineRule="auto" w:after="120" w:before="0"/>
        <w:ind w:firstLine="425"/>
        <w:jc w:val="both"/>
      </w:pPr>
      <w:r>
        <w:rPr>
          <w:rFonts w:ascii="Times New Roman" w:hAnsi="Times New Roman" w:cs="Times New Roman" w:eastAsia="Times New Roman"/>
          <w:b w:val="0"/>
          <w:i w:val="0"/>
          <w:sz w:val="24"/>
        </w:rPr>
        <w:t xml:space="preserve">Il caso conferma per via indipendente il criterio formulato al blocco decimo sulla revoca differita, ed estende la proposizione dall'onorificenza individuale al riconoscimento istituzionale: in entrambi i casi la variabile esplicativa e la soglia di accettabilita pubblica e non lo stato della conoscenza. La convergenza di due casi appartenenti a ordinamenti e a domini diversi eleva la proposizione dal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w:t>
      </w:r>
    </w:p>
    <w:p>
      <w:pPr>
        <w:spacing w:line="276" w:lineRule="auto" w:after="120" w:before="0"/>
        <w:ind w:firstLine="425"/>
        <w:jc w:val="both"/>
      </w:pPr>
      <w:r>
        <w:rPr>
          <w:rFonts w:ascii="Times New Roman" w:hAnsi="Times New Roman" w:cs="Times New Roman" w:eastAsia="Times New Roman"/>
          <w:b w:val="0"/>
          <w:i w:val="0"/>
          <w:sz w:val="24"/>
        </w:rPr>
        <w:t>Il registro rileva la composizione del nucleo fondatore, aristocratica e clericale, e la registra come dato di fatto documentato, iscrivendo in Tavola Unica il censimento nominativo dei fondatori e dei loro rapporti istituzionali quale lacuna a rimediabilita media, con sede negli atti costitutivi e nei registri delle associazioni.</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eleva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il criterio della revoca differita per convergenza di due casi appartenenti a ordinamenti e domini diversi, estendendolo dall'onorificenza individuale al riconoscimento istituzionale.</w:t>
      </w:r>
    </w:p>
    <w:p>
      <w:pPr>
        <w:spacing w:line="276" w:lineRule="auto" w:after="160" w:before="240"/>
        <w:jc w:val="left"/>
      </w:pPr>
      <w:r>
        <w:rPr>
          <w:rFonts w:ascii="Times New Roman" w:hAnsi="Times New Roman" w:cs="Times New Roman" w:eastAsia="Times New Roman"/>
          <w:b/>
          <w:i w:val="0"/>
          <w:sz w:val="26"/>
        </w:rPr>
        <w:t>Blocco XLV — L'organizzazione informativa come santuario occupazionale</w:t>
      </w:r>
    </w:p>
    <w:p>
      <w:pPr>
        <w:spacing w:line="276" w:lineRule="auto" w:after="120" w:before="0"/>
        <w:ind w:firstLine="425"/>
        <w:jc w:val="both"/>
      </w:pPr>
      <w:r>
        <w:rPr>
          <w:rFonts w:ascii="Times New Roman" w:hAnsi="Times New Roman" w:cs="Times New Roman" w:eastAsia="Times New Roman"/>
          <w:b w:val="0"/>
          <w:i w:val="0"/>
          <w:sz w:val="24"/>
        </w:rPr>
        <w:t xml:space="preserve">L'organizzazione informativa fondata dall'ex capo del servizio di ricognizione sul fronte orientale, confluita nel servizio federale tedesco sotto tutela statunitense, e riscontrata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e risulta coerente con quanto il corpus aveva gia verificato in altra sede.</w:t>
      </w:r>
    </w:p>
    <w:p>
      <w:pPr>
        <w:spacing w:line="276" w:lineRule="auto" w:after="120" w:before="0"/>
        <w:ind w:firstLine="425"/>
        <w:jc w:val="both"/>
      </w:pPr>
      <w:r>
        <w:rPr>
          <w:rFonts w:ascii="Times New Roman" w:hAnsi="Times New Roman" w:cs="Times New Roman" w:eastAsia="Times New Roman"/>
          <w:b w:val="0"/>
          <w:i w:val="0"/>
          <w:sz w:val="24"/>
        </w:rPr>
        <w:t>Il nodo produce l'acquisizione conclusiva sui meccanismi di reintegrazione. Esso documenta che accanto ai tre meccanismi tipizzati al blocco quarantesimo opero un quarto meccanismo, di natura occupazionale: la costituzione di una struttura che, in quanto tale, impiegava legittimamente personale proveniente dagli apparati disciolti, rendendo la questione della qualificazione individuale un problema interno di gestione del personale anziche una questione di ordinamento.</w:t>
      </w:r>
    </w:p>
    <w:p>
      <w:pPr>
        <w:spacing w:line="276" w:lineRule="auto" w:after="120" w:before="0"/>
        <w:ind w:firstLine="425"/>
        <w:jc w:val="both"/>
      </w:pPr>
      <w:r>
        <w:rPr>
          <w:rFonts w:ascii="Times New Roman" w:hAnsi="Times New Roman" w:cs="Times New Roman" w:eastAsia="Times New Roman"/>
          <w:b w:val="0"/>
          <w:i w:val="0"/>
          <w:sz w:val="24"/>
        </w:rPr>
        <w:t>La differenza rispetto agli altri tre meccanismi e sostanziale e va enunciata. Nei primi tre il soggetto compromesso viene reintrodotto in un ordinamento che dovrebbe respingerlo, e la reintroduzione richiede un'operazione. Qui il soggetto non viene reintrodotto: viene assorbito da una struttura di nuova costituzione la cui stessa funzione richiede le competenze che egli possiede. Non vi e operazione perche non vi e attrito.</w:t>
      </w:r>
    </w:p>
    <w:p>
      <w:pPr>
        <w:spacing w:line="276" w:lineRule="auto" w:after="120" w:before="0"/>
        <w:ind w:firstLine="425"/>
        <w:jc w:val="both"/>
      </w:pPr>
      <w:r>
        <w:rPr>
          <w:rFonts w:ascii="Times New Roman" w:hAnsi="Times New Roman" w:cs="Times New Roman" w:eastAsia="Times New Roman"/>
          <w:b w:val="0"/>
          <w:i w:val="0"/>
          <w:sz w:val="24"/>
        </w:rPr>
        <w:t xml:space="preserve">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proposizione secondo cui il santuario occupazionale costituisce il meccanismo di reintegrazione piu efficace fra quelli documentati, in quanto non lascia traccia di atti di sanatoria, e ne trae la conseguenza metodologica che la sua individuazione richiede l'esame degli organigrammi e non degli atti, con relativa iscrizione in Tavola Unica.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tipizza il santuario occupazionale come quarto meccanismo di reintegrazione, si qualifica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come il piu efficace in quanto privo di atti di sanatoria, e se ne indica la sede documentale negli organigrammi.</w:t>
      </w:r>
    </w:p>
    <w:p>
      <w:pPr>
        <w:spacing w:line="276" w:lineRule="auto" w:after="160" w:before="240"/>
        <w:jc w:val="left"/>
      </w:pPr>
      <w:r>
        <w:rPr>
          <w:rFonts w:ascii="Times New Roman" w:hAnsi="Times New Roman" w:cs="Times New Roman" w:eastAsia="Times New Roman"/>
          <w:b/>
          <w:i w:val="0"/>
          <w:sz w:val="26"/>
        </w:rPr>
        <w:t>Blocco XLVI — Il rifugio mediorientale</w:t>
      </w:r>
    </w:p>
    <w:p>
      <w:pPr>
        <w:spacing w:line="276" w:lineRule="auto" w:after="120" w:before="0"/>
        <w:ind w:firstLine="425"/>
        <w:jc w:val="both"/>
      </w:pPr>
      <w:r>
        <w:rPr>
          <w:rFonts w:ascii="Times New Roman" w:hAnsi="Times New Roman" w:cs="Times New Roman" w:eastAsia="Times New Roman"/>
          <w:b w:val="0"/>
          <w:i w:val="0"/>
          <w:sz w:val="24"/>
        </w:rPr>
        <w:t xml:space="preserve">Trova riscontro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l'impiego di ex nazisti presso il regime egiziano, coerentemente con quanto verificato dalla terza e dalla quinta nota, con figure documentate nel campo della propaganda, della sicurezza interna e della consulenza militare.</w:t>
      </w:r>
    </w:p>
    <w:p>
      <w:pPr>
        <w:spacing w:line="276" w:lineRule="auto" w:after="120" w:before="0"/>
        <w:ind w:firstLine="425"/>
        <w:jc w:val="both"/>
      </w:pPr>
      <w:r>
        <w:rPr>
          <w:rFonts w:ascii="Times New Roman" w:hAnsi="Times New Roman" w:cs="Times New Roman" w:eastAsia="Times New Roman"/>
          <w:b w:val="0"/>
          <w:i w:val="0"/>
          <w:sz w:val="24"/>
        </w:rPr>
        <w:t>Il teatro presenta una specificita che lo distingue dagli altri e va registrata: qui la competenza trasferita fu in prevalenza propagandistica e repressiva anziche tecnico-scientifica, il che conferma la riqualificazione dell'oggetto della sezione gia operata al blocco dodicesimo e ne estende la portata a un quarto teatro.</w:t>
      </w:r>
    </w:p>
    <w:p>
      <w:pPr>
        <w:spacing w:line="276" w:lineRule="auto" w:after="120" w:before="0"/>
        <w:ind w:firstLine="425"/>
        <w:jc w:val="both"/>
      </w:pPr>
      <w:r>
        <w:rPr>
          <w:rFonts w:ascii="Times New Roman" w:hAnsi="Times New Roman" w:cs="Times New Roman" w:eastAsia="Times New Roman"/>
          <w:b w:val="0"/>
          <w:i w:val="0"/>
          <w:sz w:val="24"/>
        </w:rPr>
        <w:t>Il registro rileva la configurazione documentata al blocco ventiseiesimo, per cui il medesimo teatro vide contestualmente operare ex appartenenti agli apparati del Reich al servizio del regime locale e un ex ufficiale delle SS reclutato dal servizio israeliano per contrastarli. La configurazione e registrata come il caso limite dell'invariante sull'utilita operativa, ed e richiamata qui per completezza del teatro.</w:t>
      </w:r>
    </w:p>
    <w:p>
      <w:pPr>
        <w:spacing w:line="276" w:lineRule="auto" w:after="120" w:before="0"/>
        <w:ind w:firstLine="425"/>
        <w:jc w:val="both"/>
      </w:pPr>
      <w:r>
        <w:rPr>
          <w:rFonts w:ascii="Times New Roman" w:hAnsi="Times New Roman" w:cs="Times New Roman" w:eastAsia="Times New Roman"/>
          <w:b w:val="0"/>
          <w:i w:val="0"/>
          <w:sz w:val="24"/>
        </w:rPr>
        <w:t xml:space="preserve">Va segnalato che questo teatro presenta la maggiore disomogeneita di documentazione dell'intera sezione, con nodi solidamente accertati accanto a nodi di pura tradizione pubblicistica, e che il registro vi applica percio con particolare severita il filtro preventivo formulato al blocco terzo, conservando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i soli nodi corredati da documentazione archivistica o da accertamento e collocando gli altri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w:t>
      </w:r>
    </w:p>
    <w:p>
      <w:pPr>
        <w:spacing w:line="276" w:lineRule="auto" w:after="240" w:before="0"/>
        <w:ind w:firstLine="425"/>
        <w:jc w:val="both"/>
      </w:pPr>
      <w:r>
        <w:rPr>
          <w:rFonts w:ascii="Times New Roman" w:hAnsi="Times New Roman" w:cs="Times New Roman" w:eastAsia="Times New Roman"/>
          <w:b w:val="0"/>
          <w:i/>
          <w:sz w:val="22"/>
        </w:rPr>
        <w:t>Sintesi del dato nuovo acquisito: si estende a un quarto teatro la riqualificazione dell'oggetto della sezione come acquisizione di competenze repressive e propagandistiche e non soltanto tecnico-scientifiche, e si registra la disomogeneita documentale del teatro come motivo di applicazione severa del filtro preventivo.</w:t>
      </w:r>
    </w:p>
    <w:p>
      <w:pPr>
        <w:spacing w:line="276" w:lineRule="auto" w:after="160" w:before="240"/>
        <w:jc w:val="left"/>
      </w:pPr>
      <w:r>
        <w:rPr>
          <w:rFonts w:ascii="Times New Roman" w:hAnsi="Times New Roman" w:cs="Times New Roman" w:eastAsia="Times New Roman"/>
          <w:b/>
          <w:i w:val="0"/>
          <w:sz w:val="26"/>
        </w:rPr>
        <w:t>Blocco XLVII — Australia: ottocentoquarantuno casi, nessuna condanna</w:t>
      </w:r>
    </w:p>
    <w:p>
      <w:pPr>
        <w:spacing w:line="276" w:lineRule="auto" w:after="120" w:before="0"/>
        <w:ind w:firstLine="425"/>
        <w:jc w:val="both"/>
      </w:pPr>
      <w:r>
        <w:rPr>
          <w:rFonts w:ascii="Times New Roman" w:hAnsi="Times New Roman" w:cs="Times New Roman" w:eastAsia="Times New Roman"/>
          <w:b w:val="0"/>
          <w:i w:val="0"/>
          <w:sz w:val="24"/>
        </w:rPr>
        <w:t xml:space="preserve">Trova riscontro al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la vicenda australiana: centinaia di criminali infiltrati nel paese, il ruolo dei servizi, l'inchiesta condotta da un ricercatore identificato e l'unita speciale che esamino ottocentoquarantuno casi, con soltanto tre o quattro giunti a processo, tutti conclusi senza condanna. La quinta nota di verifica precisa che l'unita fu chiusa nel millenovecentonovantaquattro sotto un altro governo, particolare che il documento sottoposto a controllo omette e che il registro recepisce.</w:t>
      </w:r>
    </w:p>
    <w:p>
      <w:pPr>
        <w:spacing w:line="276" w:lineRule="auto" w:after="120" w:before="0"/>
        <w:ind w:firstLine="425"/>
        <w:jc w:val="both"/>
      </w:pPr>
      <w:r>
        <w:rPr>
          <w:rFonts w:ascii="Times New Roman" w:hAnsi="Times New Roman" w:cs="Times New Roman" w:eastAsia="Times New Roman"/>
          <w:b w:val="0"/>
          <w:i w:val="0"/>
          <w:sz w:val="24"/>
        </w:rPr>
        <w:t>Il nodo e conservato come esemplare designato dello Stato Zero giudiziario, e va enunciato nella sua struttura numerica perche essa e il dato. Ottocentoquarantuno casi esaminati costituiscono attivita istruttoria reale e documentata; tre o quattro procedimenti costituiscono un tasso di attivazione inferiore al mezzo per cento; zero condanne costituiscono un tasso di esito nullo. La sequenza documenta che il canale giudiziario fu non soltanto disponibile ma effettivamente aperto, dotato di risorse e attivato, e che il suo rendimento fu nullo.</w:t>
      </w:r>
    </w:p>
    <w:p>
      <w:pPr>
        <w:spacing w:line="276" w:lineRule="auto" w:after="120" w:before="0"/>
        <w:ind w:firstLine="425"/>
        <w:jc w:val="both"/>
      </w:pPr>
      <w:r>
        <w:rPr>
          <w:rFonts w:ascii="Times New Roman" w:hAnsi="Times New Roman" w:cs="Times New Roman" w:eastAsia="Times New Roman"/>
          <w:b w:val="0"/>
          <w:i w:val="0"/>
          <w:sz w:val="24"/>
        </w:rPr>
        <w:t>La configurazione e diversa e piu istruttiva di quella documentata al blocco nono, dove il canale disponibile non fu attivato. Qui il canale fu attivato e non produsse esito, il che sposta la questione dalla volonta politica alla praticabilita probatoria: a quarant'anni dai fatti, con testimoni deceduti e documentazione dispersa, l'accertamento penale individuale diviene tecnicamente impraticabile indipendentemente dalla volonta.</w:t>
      </w:r>
    </w:p>
    <w:p>
      <w:pPr>
        <w:spacing w:line="276" w:lineRule="auto" w:after="120" w:before="0"/>
        <w:ind w:firstLine="425"/>
        <w:jc w:val="both"/>
      </w:pPr>
      <w:r>
        <w:rPr>
          <w:rFonts w:ascii="Times New Roman" w:hAnsi="Times New Roman" w:cs="Times New Roman" w:eastAsia="Times New Roman"/>
          <w:b w:val="0"/>
          <w:i w:val="0"/>
          <w:sz w:val="24"/>
        </w:rPr>
        <w:t xml:space="preserve">Ne discende l'acquisizione conclusiva delle architetture dell'impunita, che il registro formula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il differimento non e neutrale rispetto all'esito, poiche produce impunita per via tecnica anche in assenza di volonta di produrla, sicche la scelta di differire equivale, nei suoi effetti, alla scelta di non perseguire.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acquisisce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che il differimento dell'accertamento produce impunita per via tecnica indipendentemente dalla volonta, equivalendo nei suoi effetti alla scelta di non perseguire, con caso esemplare numericamente documentato.</w:t>
      </w:r>
    </w:p>
    <w:p>
      <w:pPr>
        <w:spacing w:line="276" w:lineRule="auto" w:after="160" w:before="240"/>
        <w:jc w:val="left"/>
      </w:pPr>
      <w:r>
        <w:rPr>
          <w:rFonts w:ascii="Times New Roman" w:hAnsi="Times New Roman" w:cs="Times New Roman" w:eastAsia="Times New Roman"/>
          <w:b/>
          <w:i w:val="0"/>
          <w:sz w:val="26"/>
        </w:rPr>
        <w:t>Blocco XLVIII — Isomorfismo strutturale dei teatri</w:t>
      </w:r>
    </w:p>
    <w:p>
      <w:pPr>
        <w:spacing w:line="276" w:lineRule="auto" w:after="120" w:before="0"/>
        <w:ind w:firstLine="425"/>
        <w:jc w:val="both"/>
      </w:pPr>
      <w:r>
        <w:rPr>
          <w:rFonts w:ascii="Times New Roman" w:hAnsi="Times New Roman" w:cs="Times New Roman" w:eastAsia="Times New Roman"/>
          <w:b w:val="0"/>
          <w:i w:val="0"/>
          <w:sz w:val="24"/>
        </w:rPr>
        <w:t>Il blocco applica il pattern dell'isomorfismo strutturale ai cinque teatri documentati e ne trae la topologia comune.</w:t>
      </w:r>
    </w:p>
    <w:p>
      <w:pPr>
        <w:spacing w:line="276" w:lineRule="auto" w:after="120" w:before="0"/>
        <w:ind w:firstLine="425"/>
        <w:jc w:val="both"/>
      </w:pPr>
      <w:r>
        <w:rPr>
          <w:rFonts w:ascii="Times New Roman" w:hAnsi="Times New Roman" w:cs="Times New Roman" w:eastAsia="Times New Roman"/>
          <w:b w:val="0"/>
          <w:i w:val="0"/>
          <w:sz w:val="24"/>
        </w:rPr>
        <w:t>Ricorrono in tutti i teatri, con variazioni di forma e non di funzione, cinque elementi: una infrastruttura preesistente riconvertita anziche creata; un meccanismo di reintegrazione che produce conformita formale senza mutamento di condotta; una fase di controllo statale che subentra a una fase di iniziativa privata condividendone l'infrastruttura; un differimento dell'accertamento che ne determina l'esito; e una revoca tardiva di riconoscimenti che misura l'accettabilita pubblica anziche la conoscenza.</w:t>
      </w:r>
    </w:p>
    <w:p>
      <w:pPr>
        <w:spacing w:line="276" w:lineRule="auto" w:after="120" w:before="0"/>
        <w:ind w:firstLine="425"/>
        <w:jc w:val="both"/>
      </w:pPr>
      <w:r>
        <w:rPr>
          <w:rFonts w:ascii="Times New Roman" w:hAnsi="Times New Roman" w:cs="Times New Roman" w:eastAsia="Times New Roman"/>
          <w:b w:val="0"/>
          <w:i w:val="0"/>
          <w:sz w:val="24"/>
        </w:rPr>
        <w:t xml:space="preserve">L'analisi dell'isomorfismo, secondo la metodologia adottata, deve discriminare fra tre spiegazioni possibili: origine comune, necessita funzionale e convergenza indipendente. Il registro esclude l'origine comune, non essendovi progettista unico documentato ne comunicazione fra i teatri; esclude la convergenza indipendente pura, poiche i teatri comunicarono attraverso il transito documentato di soggetti fra l'uno e l'altro; e adotta al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xml:space="preserve"> la spiegazione della necessita funzionale, secondo cui la struttura ricorrente e la piu efficiente disponibile per il compito di reintegrare capitale umano compromesso in ordinamenti che ne dichiarano l'esclusione.</w:t>
      </w:r>
    </w:p>
    <w:p>
      <w:pPr>
        <w:spacing w:line="276" w:lineRule="auto" w:after="120" w:before="0"/>
        <w:ind w:firstLine="425"/>
        <w:jc w:val="both"/>
      </w:pPr>
      <w:r>
        <w:rPr>
          <w:rFonts w:ascii="Times New Roman" w:hAnsi="Times New Roman" w:cs="Times New Roman" w:eastAsia="Times New Roman"/>
          <w:b w:val="0"/>
          <w:i w:val="0"/>
          <w:sz w:val="24"/>
        </w:rPr>
        <w:t>Il falsificatore designato e la dimostrazione dell'esistenza di un teatro in cui il medesimo compito sia stato assolto con struttura significativamente diversa, e in particolare mediante accertamento preventivo delle responsabilita individuali seguito da impiego selettivo. Il falsificatore non e allo stato soddisfatto.</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acquisiscono i cinque elementi della topologia comune ai teatri e si adotta al grado </w:t>
      </w:r>
      <w:r>
        <w:rPr>
          <w:rFonts w:ascii="Times New Roman" w:hAnsi="Times New Roman" w:cs="Times New Roman" w:eastAsia="Times New Roman"/>
          <w:b/>
          <w:i/>
          <w:sz w:val="22"/>
        </w:rPr>
        <w:t>B</w:t>
      </w:r>
      <w:r>
        <w:rPr>
          <w:rFonts w:ascii="Times New Roman" w:hAnsi="Times New Roman" w:cs="Times New Roman" w:eastAsia="Times New Roman"/>
          <w:b w:val="0"/>
          <w:i/>
          <w:sz w:val="22"/>
        </w:rPr>
        <w:t xml:space="preserve"> la spiegazione per necessita funzionale, escludendo tanto l'origine comune quanto la convergenza indipendente pura, con falsificatore designato e non soddisfatto.</w:t>
      </w:r>
    </w:p>
    <w:p>
      <w:pPr>
        <w:spacing w:line="276" w:lineRule="auto" w:after="160" w:before="240"/>
        <w:jc w:val="left"/>
      </w:pPr>
      <w:r>
        <w:rPr>
          <w:rFonts w:ascii="Times New Roman" w:hAnsi="Times New Roman" w:cs="Times New Roman" w:eastAsia="Times New Roman"/>
          <w:b/>
          <w:i w:val="0"/>
          <w:sz w:val="26"/>
        </w:rPr>
        <w:t>Blocco XLIX — Federazione con la sezione metafisica: i quattro archi</w:t>
      </w:r>
    </w:p>
    <w:p>
      <w:pPr>
        <w:spacing w:line="276" w:lineRule="auto" w:after="120" w:before="0"/>
        <w:ind w:firstLine="425"/>
        <w:jc w:val="both"/>
      </w:pPr>
      <w:r>
        <w:rPr>
          <w:rFonts w:ascii="Times New Roman" w:hAnsi="Times New Roman" w:cs="Times New Roman" w:eastAsia="Times New Roman"/>
          <w:b w:val="0"/>
          <w:i w:val="0"/>
          <w:sz w:val="24"/>
        </w:rPr>
        <w:t>Il blocco esegue la federazione annunciata al blocco primo, enunciando i quattro archi che collegano la presente sezione a quella metafisica e specificandone il tipo secondo la tassonomia.</w:t>
      </w:r>
    </w:p>
    <w:p>
      <w:pPr>
        <w:spacing w:line="276" w:lineRule="auto" w:after="120" w:before="0"/>
        <w:ind w:firstLine="425"/>
        <w:jc w:val="both"/>
      </w:pPr>
      <w:r>
        <w:rPr>
          <w:rFonts w:ascii="Times New Roman" w:hAnsi="Times New Roman" w:cs="Times New Roman" w:eastAsia="Times New Roman"/>
          <w:b w:val="0"/>
          <w:i w:val="0"/>
          <w:sz w:val="24"/>
        </w:rPr>
        <w:t>Il primo arco e il nodo iberico. L'ambiente dei santuari spagnoli e portoghesi documentato ai blocchi dal ventiduesimo al ventottesimo e il medesimo in cui si colloca la centrale di Lisbona trattata nella sezione metafisica, e la teologia della roccaforte dell'Occidente cristiano ivi analizzata trova nel Portogallo salazarista la sua incarnazione statale. L'arco e di coappartenenza ambientale documentata e non di derivazione, in conformita alla distinzione gia stabilita.</w:t>
      </w:r>
    </w:p>
    <w:p>
      <w:pPr>
        <w:spacing w:line="276" w:lineRule="auto" w:after="120" w:before="0"/>
        <w:ind w:firstLine="425"/>
        <w:jc w:val="both"/>
      </w:pPr>
      <w:r>
        <w:rPr>
          <w:rFonts w:ascii="Times New Roman" w:hAnsi="Times New Roman" w:cs="Times New Roman" w:eastAsia="Times New Roman"/>
          <w:b w:val="0"/>
          <w:i w:val="0"/>
          <w:sz w:val="24"/>
        </w:rPr>
        <w:t xml:space="preserve">Il secondo arco e il nodo boliviano del blocco trentaseiesimo, che collega la diaspora all'eversione neofascista europea in un singolo evento databile. E arco di convergenza operativa documentata, di grado </w:t>
      </w:r>
      <w:r>
        <w:rPr>
          <w:rFonts w:ascii="Times New Roman" w:hAnsi="Times New Roman" w:cs="Times New Roman" w:eastAsia="Times New Roman"/>
          <w:b/>
          <w:i w:val="0"/>
          <w:sz w:val="24"/>
        </w:rPr>
        <w:t>B</w:t>
      </w:r>
      <w:r>
        <w:rPr>
          <w:rFonts w:ascii="Times New Roman" w:hAnsi="Times New Roman" w:cs="Times New Roman" w:eastAsia="Times New Roman"/>
          <w:b w:val="0"/>
          <w:i w:val="0"/>
          <w:sz w:val="24"/>
        </w:rPr>
        <w:t>, ed e il nodo di massima intermediazione del grafo federato.</w:t>
      </w:r>
    </w:p>
    <w:p>
      <w:pPr>
        <w:spacing w:line="276" w:lineRule="auto" w:after="120" w:before="0"/>
        <w:ind w:firstLine="425"/>
        <w:jc w:val="both"/>
      </w:pPr>
      <w:r>
        <w:rPr>
          <w:rFonts w:ascii="Times New Roman" w:hAnsi="Times New Roman" w:cs="Times New Roman" w:eastAsia="Times New Roman"/>
          <w:b w:val="0"/>
          <w:i w:val="0"/>
          <w:sz w:val="24"/>
        </w:rPr>
        <w:t>Il terzo arco e strutturale e non personale: la dottrina della rete capillare a difesa dello Stato analizzata nella sezione metafisica trova nel santuario occupazionale del blocco quarantacinquesimo la propria realizzazione istituzionale in ambito occidentale. L'arco e di isomorfismo e non di filiazione, e va registrato come tale.</w:t>
      </w:r>
    </w:p>
    <w:p>
      <w:pPr>
        <w:spacing w:line="276" w:lineRule="auto" w:after="120" w:before="0"/>
        <w:ind w:firstLine="425"/>
        <w:jc w:val="both"/>
      </w:pPr>
      <w:r>
        <w:rPr>
          <w:rFonts w:ascii="Times New Roman" w:hAnsi="Times New Roman" w:cs="Times New Roman" w:eastAsia="Times New Roman"/>
          <w:b w:val="0"/>
          <w:i w:val="0"/>
          <w:sz w:val="24"/>
        </w:rPr>
        <w:t>Il quarto arco e quello cileno del blocco trentacinquesimo, che fornisce riscontro corroborativo esterno alla topologia delle strutture politiche a costituzione religiosa formulata nella sezione metafisica, senza elevarne il grado in assenza del test quantitativo iscritto in Tavola Unica.</w:t>
      </w:r>
    </w:p>
    <w:p>
      <w:pPr>
        <w:spacing w:line="276" w:lineRule="auto" w:after="240" w:before="0"/>
        <w:ind w:firstLine="425"/>
        <w:jc w:val="both"/>
      </w:pPr>
      <w:r>
        <w:rPr>
          <w:rFonts w:ascii="Times New Roman" w:hAnsi="Times New Roman" w:cs="Times New Roman" w:eastAsia="Times New Roman"/>
          <w:b w:val="0"/>
          <w:i/>
          <w:sz w:val="22"/>
        </w:rPr>
        <w:t>Sintesi del dato nuovo acquisito: si eseguono e si tipizzano i quattro archi di federazione fra le due sezioni, distinguendo coappartenenza ambientale, convergenza operativa, isomorfismo strutturale e corroborazione esterna, con divieto di trattarne alcuno come filiazione.</w:t>
      </w:r>
    </w:p>
    <w:p>
      <w:pPr>
        <w:spacing w:line="276" w:lineRule="auto" w:after="160" w:before="240"/>
        <w:jc w:val="left"/>
      </w:pPr>
      <w:r>
        <w:rPr>
          <w:rFonts w:ascii="Times New Roman" w:hAnsi="Times New Roman" w:cs="Times New Roman" w:eastAsia="Times New Roman"/>
          <w:b/>
          <w:i w:val="0"/>
          <w:sz w:val="26"/>
        </w:rPr>
        <w:t>Blocco L — Bilancio della sezione e iscrizioni nella Tavola Unica</w:t>
      </w:r>
    </w:p>
    <w:p>
      <w:pPr>
        <w:spacing w:line="276" w:lineRule="auto" w:after="120" w:before="0"/>
        <w:ind w:firstLine="425"/>
        <w:jc w:val="both"/>
      </w:pPr>
      <w:r>
        <w:rPr>
          <w:rFonts w:ascii="Times New Roman" w:hAnsi="Times New Roman" w:cs="Times New Roman" w:eastAsia="Times New Roman"/>
          <w:b w:val="0"/>
          <w:i w:val="0"/>
          <w:sz w:val="24"/>
        </w:rPr>
        <w:t>Si ordinano le acquisizioni secondo il rendimento e non secondo l'ordine di esposizione.</w:t>
      </w:r>
    </w:p>
    <w:p>
      <w:pPr>
        <w:spacing w:line="276" w:lineRule="auto" w:after="120" w:before="0"/>
        <w:ind w:firstLine="425"/>
        <w:jc w:val="both"/>
      </w:pPr>
      <w:r>
        <w:rPr>
          <w:rFonts w:ascii="Times New Roman" w:hAnsi="Times New Roman" w:cs="Times New Roman" w:eastAsia="Times New Roman"/>
          <w:b w:val="0"/>
          <w:i w:val="0"/>
          <w:sz w:val="24"/>
        </w:rPr>
        <w:t xml:space="preserve">Fra le acquisizioni positive di grado </w:t>
      </w:r>
      <w:r>
        <w:rPr>
          <w:rFonts w:ascii="Times New Roman" w:hAnsi="Times New Roman" w:cs="Times New Roman" w:eastAsia="Times New Roman"/>
          <w:b/>
          <w:i w:val="0"/>
          <w:sz w:val="24"/>
        </w:rPr>
        <w:t>A</w:t>
      </w:r>
      <w:r>
        <w:rPr>
          <w:rFonts w:ascii="Times New Roman" w:hAnsi="Times New Roman" w:cs="Times New Roman" w:eastAsia="Times New Roman"/>
          <w:b w:val="0"/>
          <w:i w:val="0"/>
          <w:sz w:val="24"/>
        </w:rPr>
        <w:t xml:space="preserve"> si collocano: la genesi e la meccanica dell'operazione statunitense con l'aggiramento del divieto mediante bonifica dei fascicoli; le figure apicali del programma missilistico e il capitolo medico con le sue revoche differite; il prelievo simultaneo del ventidue ottobre millenovecentoquarantasei con la sua ripartizione ministeriale; il conglomerato economico iberico e la rete di esfiltrazione madrilena; i due canali romani, il documento di viaggio umanitario e il subentro del controspionaggio nel millenovecentoquarantasette; i santuari nazionali del Cono Sud paese per paese; e la vicenda australiana nella sua struttura numerica.</w:t>
      </w:r>
    </w:p>
    <w:p>
      <w:pPr>
        <w:spacing w:line="276" w:lineRule="auto" w:after="120" w:before="0"/>
        <w:ind w:firstLine="425"/>
        <w:jc w:val="both"/>
      </w:pPr>
      <w:r>
        <w:rPr>
          <w:rFonts w:ascii="Times New Roman" w:hAnsi="Times New Roman" w:cs="Times New Roman" w:eastAsia="Times New Roman"/>
          <w:b w:val="0"/>
          <w:i w:val="0"/>
          <w:sz w:val="24"/>
        </w:rPr>
        <w:t xml:space="preserve">Fra le acquisizioni negative, di rango pari alle precedenti, si collocano: la confutazione della sigla unica e l'estensione della cautela alle sigle minori; la confutazione della tesi del plagio dell'arma automatica con riattribuzione del trasferimento decisivo alla tecnologia produttiva; il declassamento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xml:space="preserve"> dell'ipotesi di derivazione del programma chimico-biologico sudafricano; e la conferma in quarantena delle sei catene finanziarie e aneddotiche gia respinte dalle note di verifica.</w:t>
      </w:r>
    </w:p>
    <w:p>
      <w:pPr>
        <w:spacing w:line="276" w:lineRule="auto" w:after="120" w:before="0"/>
        <w:ind w:firstLine="425"/>
        <w:jc w:val="both"/>
      </w:pPr>
      <w:r>
        <w:rPr>
          <w:rFonts w:ascii="Times New Roman" w:hAnsi="Times New Roman" w:cs="Times New Roman" w:eastAsia="Times New Roman"/>
          <w:b w:val="0"/>
          <w:i w:val="0"/>
          <w:sz w:val="24"/>
        </w:rPr>
        <w:t>Fra le acquisizioni teoriche si collocano: i cinque tratti dell'isomorfismo fra le due operazioni di acquisizione, qualificato come convergenza emergente e non concertata; il criterio della conformita formale ottenuta senza mutamento di condotta nelle sue tre varianti; la tesi della preesistenza economica dei santuari; il criterio di imputazione a tre livelli per le istituzioni legali; la periodizzazione in due fasi del teatro sudamericano; la tipologia a quattro voci dei meccanismi di reintegrazione, comprensiva del santuario occupazionale; e la tesi dell'equivalenza fra differimento dell'accertamento e scelta di non perseguire.</w:t>
      </w:r>
    </w:p>
    <w:p>
      <w:pPr>
        <w:spacing w:line="276" w:lineRule="auto" w:after="120" w:before="0"/>
        <w:ind w:firstLine="425"/>
        <w:jc w:val="both"/>
      </w:pPr>
      <w:r>
        <w:rPr>
          <w:rFonts w:ascii="Times New Roman" w:hAnsi="Times New Roman" w:cs="Times New Roman" w:eastAsia="Times New Roman"/>
          <w:b w:val="0"/>
          <w:i w:val="0"/>
          <w:sz w:val="24"/>
        </w:rPr>
        <w:t>Si iscrivono nella Tavola Unica, in ordine decrescente di rimediabilita: il censimento dei fondi archivistici delle organizzazioni legali di partito e assistenziali dei paesi di transito; il censimento dei procedimenti di estradizione negati con le rispettive motivazioni; il censimento nominativo dei fondatori dell'associazione assistenziale; l'esame degli organigrammi delle strutture informative di nuova costituzione; gli atti giudiziari e militari sudafricani relativi all'operazione degli anni Quaranta; e infine, a rimediabilita nulla allo stato, la documentazione della fase di schedatura preventiva anteriore al prelievo dell'ottobre millenovecentoquarantasei.</w:t>
      </w:r>
    </w:p>
    <w:p>
      <w:pPr>
        <w:spacing w:line="276" w:lineRule="auto" w:after="120" w:before="0"/>
        <w:ind w:firstLine="425"/>
        <w:jc w:val="both"/>
      </w:pPr>
      <w:r>
        <w:rPr>
          <w:rFonts w:ascii="Times New Roman" w:hAnsi="Times New Roman" w:cs="Times New Roman" w:eastAsia="Times New Roman"/>
          <w:b w:val="0"/>
          <w:i w:val="0"/>
          <w:sz w:val="24"/>
        </w:rPr>
        <w:t>Si conferma che nessun blocco della sezione fonda o corrobora l'ipotesi macro della convergenza deliberata contro l'integrazione europea: quanto qui documentato configura convergenza emergente per identita di posizione strutturale, che e cosa diversa e non ne costituisce prova.</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si ordina il bilancio in sette acquisizioni positive di grado </w:t>
      </w:r>
      <w:r>
        <w:rPr>
          <w:rFonts w:ascii="Times New Roman" w:hAnsi="Times New Roman" w:cs="Times New Roman" w:eastAsia="Times New Roman"/>
          <w:b/>
          <w:i/>
          <w:sz w:val="22"/>
        </w:rPr>
        <w:t>A</w:t>
      </w:r>
      <w:r>
        <w:rPr>
          <w:rFonts w:ascii="Times New Roman" w:hAnsi="Times New Roman" w:cs="Times New Roman" w:eastAsia="Times New Roman"/>
          <w:b w:val="0"/>
          <w:i/>
          <w:sz w:val="22"/>
        </w:rPr>
        <w:t>, quattro acquisizioni negative di pari rango, sette acquisizioni teoriche e sei iscrizioni in Tavola Unica, con conferma espressa della neutralita della sezione rispetto all'ipotesi macro e della qualificazione della convergenza documentata come emergente e non concertata.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