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200" w:before="0"/>
        <w:jc w:val="center"/>
      </w:pPr>
      <w:r>
        <w:rPr>
          <w:rFonts w:ascii="Times New Roman" w:hAnsi="Times New Roman" w:cs="Times New Roman" w:eastAsia="Times New Roman"/>
          <w:b/>
          <w:i w:val="0"/>
          <w:sz w:val="44"/>
        </w:rPr>
        <w:t>ITALIA NERA</w:t>
      </w:r>
    </w:p>
    <w:p>
      <w:pPr>
        <w:spacing w:line="276" w:lineRule="auto" w:after="280" w:before="0"/>
        <w:jc w:val="center"/>
      </w:pPr>
      <w:r>
        <w:rPr>
          <w:rFonts w:ascii="Times New Roman" w:hAnsi="Times New Roman" w:cs="Times New Roman" w:eastAsia="Times New Roman"/>
          <w:b/>
          <w:i w:val="0"/>
          <w:sz w:val="30"/>
        </w:rPr>
        <w:t>SEZIONE METAFISICA, RELIGIOSA ED ESOTERICA</w:t>
      </w:r>
    </w:p>
    <w:p>
      <w:pPr>
        <w:spacing w:line="276" w:lineRule="auto" w:after="480" w:before="0"/>
        <w:jc w:val="center"/>
      </w:pPr>
      <w:r>
        <w:rPr>
          <w:rFonts w:ascii="Times New Roman" w:hAnsi="Times New Roman" w:cs="Times New Roman" w:eastAsia="Times New Roman"/>
          <w:b w:val="0"/>
          <w:i/>
          <w:sz w:val="24"/>
        </w:rPr>
        <w:t>Cinquanta blocchi di triangolazione fra tradizionalismo, Terza Posizione, satanismo, Aginter Press, Santa Sede e caso Moro</w:t>
      </w:r>
    </w:p>
    <w:p>
      <w:pPr>
        <w:spacing w:line="276" w:lineRule="auto" w:after="120" w:before="0"/>
        <w:jc w:val="center"/>
      </w:pPr>
      <w:r>
        <w:rPr>
          <w:rFonts w:ascii="Times New Roman" w:hAnsi="Times New Roman" w:cs="Times New Roman" w:eastAsia="Times New Roman"/>
          <w:b w:val="0"/>
          <w:i w:val="0"/>
          <w:sz w:val="24"/>
        </w:rPr>
        <w:t>Registro Unico Federato — Sezione autonoma</w:t>
      </w:r>
    </w:p>
    <w:p>
      <w:pPr>
        <w:spacing w:line="276" w:lineRule="auto" w:after="120" w:before="0"/>
        <w:jc w:val="center"/>
      </w:pPr>
      <w:r>
        <w:rPr>
          <w:rFonts w:ascii="Times New Roman" w:hAnsi="Times New Roman" w:cs="Times New Roman" w:eastAsia="Times New Roman"/>
          <w:b/>
          <w:i w:val="0"/>
          <w:sz w:val="24"/>
        </w:rPr>
        <w:t>Luigi De Michele</w:t>
      </w:r>
    </w:p>
    <w:p>
      <w:pPr>
        <w:spacing w:line="276" w:lineRule="auto" w:after="600" w:before="0"/>
        <w:jc w:val="center"/>
      </w:pPr>
      <w:r>
        <w:rPr>
          <w:rFonts w:ascii="Times New Roman" w:hAnsi="Times New Roman" w:cs="Times New Roman" w:eastAsia="Times New Roman"/>
          <w:b w:val="0"/>
          <w:i w:val="0"/>
          <w:sz w:val="24"/>
        </w:rPr>
        <w:t>Agosto duemilaventisei</w:t>
      </w:r>
    </w:p>
    <w:p>
      <w:pPr>
        <w:spacing w:line="276" w:lineRule="auto" w:after="160" w:before="0"/>
        <w:jc w:val="center"/>
      </w:pPr>
      <w:r>
        <w:rPr>
          <w:rFonts w:ascii="Times New Roman" w:hAnsi="Times New Roman" w:cs="Times New Roman" w:eastAsia="Times New Roman"/>
          <w:b/>
          <w:i w:val="0"/>
          <w:sz w:val="24"/>
        </w:rPr>
        <w:t>Nota di edizione</w:t>
      </w:r>
    </w:p>
    <w:p>
      <w:pPr>
        <w:spacing w:line="276" w:lineRule="auto" w:after="160" w:before="0"/>
        <w:ind w:firstLine="425"/>
        <w:jc w:val="both"/>
      </w:pPr>
      <w:r>
        <w:rPr>
          <w:rFonts w:ascii="Times New Roman" w:hAnsi="Times New Roman" w:cs="Times New Roman" w:eastAsia="Times New Roman"/>
          <w:b w:val="0"/>
          <w:i w:val="0"/>
          <w:sz w:val="22"/>
        </w:rPr>
        <w:t>La presente sezione e redatta in conformita agli invarianti metodologici del progetto. Nessuna interrogazione in rete e stata effettuata: ogni proposizione deriva dalla lettura sistematica e dalla triangolazione degli allegati gia acquisiti al corpus federato. Ogni asserzione reca il proprio grado secondo il Sistema Savona; le assenze sono dichiarate secondo la Scala degli Stati Zero con indicazione della sede archivistica e della condizione di chiusura, ove enunciabili. La sezione non introduce alcuna radice genealogica non documentata e non organizza il materiale attorno ad alcuna ipotesi predeterminata, in applicazione della regola del Pollo di Popper. Il materiale religioso, metafisico ed esoterico e trattato secondo la regola della doppia oggettualita probatoria fissata al blocco secondo, che separa il grado dell'esistenza della testimonianza dal grado della veridicita del suo contenuto e vieta il travaso dell'uno sull'altro. Per le persone viventi valgono esclusivamente i fatti pubblici documentati, con divieto di inferenza associativa.</w:t>
      </w:r>
    </w:p>
    <w:p>
      <w:r>
        <w:br w:type="page"/>
      </w:r>
    </w:p>
    <w:p>
      <w:pPr>
        <w:spacing w:line="276" w:lineRule="auto" w:after="160" w:before="240"/>
        <w:jc w:val="left"/>
      </w:pPr>
      <w:r>
        <w:rPr>
          <w:rFonts w:ascii="Times New Roman" w:hAnsi="Times New Roman" w:cs="Times New Roman" w:eastAsia="Times New Roman"/>
          <w:b/>
          <w:i w:val="0"/>
          <w:sz w:val="26"/>
        </w:rPr>
        <w:t>Blocco I — Perche il materiale religioso, metafisico ed esoterico entra nel registro</w:t>
      </w:r>
    </w:p>
    <w:p>
      <w:pPr>
        <w:spacing w:line="276" w:lineRule="auto" w:after="120" w:before="0"/>
        <w:ind w:firstLine="425"/>
        <w:jc w:val="both"/>
      </w:pPr>
      <w:r>
        <w:rPr>
          <w:rFonts w:ascii="Times New Roman" w:hAnsi="Times New Roman" w:cs="Times New Roman" w:eastAsia="Times New Roman"/>
          <w:b w:val="0"/>
          <w:i w:val="0"/>
          <w:sz w:val="24"/>
        </w:rPr>
        <w:t>La decisione di ammettere nel Registro Unico Federato materiale di natura religiosa, metafisica ed esoterica non discende da un interesse per il soprannaturale ne da una concessione al gusto del misterioso, che sarebbe incompatibile con la Regola di Ferro. Discende da un accertamento empirico gia contenuto nel corpus: nei documenti parlamentari, nelle sentenze e nelle deposizioni acquisite, il materiale religioso e esoterico compare non come ornamento narrativo bensi come elemento di condotta. I quadri di Ordine Nuovo venivano formati su una bibliografia che comprendeva Guenon ed Evola accanto a Giannettini e al Mein Kampf, e questo risulta da documento acquisito agli atti della Commissione parlamentare d'inchiesta sulle stragi. Il fondatore di Aginter Press articolava la propria funzione operativa in termini di difesa della roccaforte dell'Occidente cristiano. Il due aprile millenovecentosettantotto un gruppo di accademici bolognesi produsse, in forma di seduta spiritica, un'indicazione toponomastica che divenne oggetto di attivita di polizia e successivamente di indagine parlamentare per oltre vent'anni.</w:t>
      </w:r>
    </w:p>
    <w:p>
      <w:pPr>
        <w:spacing w:line="276" w:lineRule="auto" w:after="120" w:before="0"/>
        <w:ind w:firstLine="425"/>
        <w:jc w:val="both"/>
      </w:pPr>
      <w:r>
        <w:rPr>
          <w:rFonts w:ascii="Times New Roman" w:hAnsi="Times New Roman" w:cs="Times New Roman" w:eastAsia="Times New Roman"/>
          <w:b w:val="0"/>
          <w:i w:val="0"/>
          <w:sz w:val="24"/>
        </w:rPr>
        <w:t>In ciascuno di questi casi l'elemento religioso o esoterico non e un attributo del soggetto studiato di cui l'analista possa disinteressarsi: e la forma stessa in cui la condotta si e prodotta, il codice in cui l'attore ha operato, il canale attraverso cui l'informazione ha viaggiato. Escluderlo dal registro non produrrebbe maggiore rigore, produrrebbe una lacuna descrittiva. Il problema, quindi, non e se ammettere questo materiale, ma con quale disciplina probatoria ammetterlo, dal momento che esso possiede una caratteristica che nessun'altra classe di dati del registro possiede: la sua verita fattuale e strutturalmente e definitivamente inaccessibile.</w:t>
      </w:r>
    </w:p>
    <w:p>
      <w:pPr>
        <w:spacing w:line="276" w:lineRule="auto" w:after="240" w:before="0"/>
        <w:ind w:firstLine="425"/>
        <w:jc w:val="both"/>
      </w:pPr>
      <w:r>
        <w:rPr>
          <w:rFonts w:ascii="Times New Roman" w:hAnsi="Times New Roman" w:cs="Times New Roman" w:eastAsia="Times New Roman"/>
          <w:b w:val="0"/>
          <w:i/>
          <w:sz w:val="22"/>
        </w:rPr>
        <w:t>Sintesi del dato nuovo acquisito: il materiale religioso ed esoterico entra nel registro come dato di condotta documentato, mai come dato di verita rivelata, e la sua ammissione richiede una regola probatoria dedicata che le sezioni successive stabiliscono.</w:t>
      </w:r>
    </w:p>
    <w:p>
      <w:pPr>
        <w:spacing w:line="276" w:lineRule="auto" w:after="160" w:before="240"/>
        <w:jc w:val="left"/>
      </w:pPr>
      <w:r>
        <w:rPr>
          <w:rFonts w:ascii="Times New Roman" w:hAnsi="Times New Roman" w:cs="Times New Roman" w:eastAsia="Times New Roman"/>
          <w:b/>
          <w:i w:val="0"/>
          <w:sz w:val="26"/>
        </w:rPr>
        <w:t>Blocco II — La regola della doppia oggettualita probatoria</w:t>
      </w:r>
    </w:p>
    <w:p>
      <w:pPr>
        <w:spacing w:line="276" w:lineRule="auto" w:after="120" w:before="0"/>
        <w:ind w:firstLine="425"/>
        <w:jc w:val="both"/>
      </w:pPr>
      <w:r>
        <w:rPr>
          <w:rFonts w:ascii="Times New Roman" w:hAnsi="Times New Roman" w:cs="Times New Roman" w:eastAsia="Times New Roman"/>
          <w:b w:val="0"/>
          <w:i w:val="0"/>
          <w:sz w:val="24"/>
        </w:rPr>
        <w:t>La regola cardinale che governa l'intera sezione e mutuata dal Dossier sui Maestri Cosmici gia acquisito al corpus, dove essa e stata formulata per la prima volta in forma esplicita, e viene qui estesa a tutto il materiale religioso, metafisico ed esoterico del registro. Per ogni testimonianza, dichiarazione o documento di contenuto spirituale vanno tenuti rigorosamente separati due oggetti probatori distinti, cui competono gradi Savona diversi e non trasferibili.</w:t>
      </w:r>
    </w:p>
    <w:p>
      <w:pPr>
        <w:spacing w:line="276" w:lineRule="auto" w:after="120" w:before="0"/>
        <w:ind w:firstLine="425"/>
        <w:jc w:val="both"/>
      </w:pPr>
      <w:r>
        <w:rPr>
          <w:rFonts w:ascii="Times New Roman" w:hAnsi="Times New Roman" w:cs="Times New Roman" w:eastAsia="Times New Roman"/>
          <w:b w:val="0"/>
          <w:i w:val="0"/>
          <w:sz w:val="24"/>
        </w:rPr>
        <w:t xml:space="preserve">Il primo oggetto e l'esistenza della testimonianza, cioe il fatto accertabile che una determinata persona abbia dichiarato una determinata cosa in una determinata data e in una determinata sede. Questo oggetto e quasi sempre collocabile al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o al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perche il verbale esiste, il libro esiste, il documento d'archivio esiste, la deposizione e stata resa davanti a un organo dello Stato. Il secondo oggetto e la veridicita del contenuto dichiarato, cioe l'effettiva avvenuta comunicazione con l'entita evocata, l'effettiva efficacia del rito, l'effettiva esistenza dell'ordine iniziatico invisibile. Questo oggetto resta stabilmente al livello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e non e suscettibile di elevazione, perche non esiste alcuna procedura che possa confermarlo o smentirlo per via indipendente.</w:t>
      </w:r>
    </w:p>
    <w:p>
      <w:pPr>
        <w:spacing w:line="276" w:lineRule="auto" w:after="120" w:before="0"/>
        <w:ind w:firstLine="425"/>
        <w:jc w:val="both"/>
      </w:pPr>
      <w:r>
        <w:rPr>
          <w:rFonts w:ascii="Times New Roman" w:hAnsi="Times New Roman" w:cs="Times New Roman" w:eastAsia="Times New Roman"/>
          <w:b w:val="0"/>
          <w:i w:val="0"/>
          <w:sz w:val="24"/>
        </w:rPr>
        <w:t xml:space="preserve">La confusione fra i due oggetti e il difetto ricorrente tanto della letteratura apologetica quanto di quella denigratoria: la prima tratta l'esistenza della testimonianza come prova del contenuto, la seconda tratta l'inverificabilita del contenuto come motivo per ignorare l'esistenza della testimonianza. Entrambe le operazioni sono vietate in questo registro. Che il piattino di Zappolino abbia scritto Gradoli e un fatto storico documentato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che lo spirito di Giorgio La Pira lo abbia dettato e proposizione di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priva di falsificatore concepibile, e come tale non entra nel ragionamento inferenziale in alcuna forma.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come invariante metodologico permanente del registro la separazione fra il grado probatorio dell'esistenza della testimonianza e il grado probatorio della veridicita del suo contenuto, con divieto assoluto di travaso dell'uno sull'altro.</w:t>
      </w:r>
    </w:p>
    <w:p>
      <w:pPr>
        <w:spacing w:line="276" w:lineRule="auto" w:after="160" w:before="240"/>
        <w:jc w:val="left"/>
      </w:pPr>
      <w:r>
        <w:rPr>
          <w:rFonts w:ascii="Times New Roman" w:hAnsi="Times New Roman" w:cs="Times New Roman" w:eastAsia="Times New Roman"/>
          <w:b/>
          <w:i w:val="0"/>
          <w:sz w:val="26"/>
        </w:rPr>
        <w:t>Blocco III — Il collasso delle catene applicato alle fonti iniziatiche</w:t>
      </w:r>
    </w:p>
    <w:p>
      <w:pPr>
        <w:spacing w:line="276" w:lineRule="auto" w:after="120" w:before="0"/>
        <w:ind w:firstLine="425"/>
        <w:jc w:val="both"/>
      </w:pPr>
      <w:r>
        <w:rPr>
          <w:rFonts w:ascii="Times New Roman" w:hAnsi="Times New Roman" w:cs="Times New Roman" w:eastAsia="Times New Roman"/>
          <w:b w:val="0"/>
          <w:i w:val="0"/>
          <w:sz w:val="24"/>
        </w:rPr>
        <w:t>La regola del collasso delle catene genealogiche, gia operante nel registro per le fonti giudiziarie derivate da un unico sequestro documentale, produce nel campo esoterico un effetto di riduzione particolarmente severo. Le tradizioni iniziatiche sono per definizione autonarranti: producono la propria storiografia, editano i propri testi, formano i propri esegeti e certificano la propria continuita con il passato attraverso attestazioni che provengono da loro stesse. Una bibliografia tradizionalista di trecento titoli puo agevolmente ridursi, all'applicazione dell'Indice di Contaminazione, a una singola catena editoriale con un unico punto di origine.</w:t>
      </w:r>
    </w:p>
    <w:p>
      <w:pPr>
        <w:spacing w:line="276" w:lineRule="auto" w:after="120" w:before="0"/>
        <w:ind w:firstLine="425"/>
        <w:jc w:val="both"/>
      </w:pPr>
      <w:r>
        <w:rPr>
          <w:rFonts w:ascii="Times New Roman" w:hAnsi="Times New Roman" w:cs="Times New Roman" w:eastAsia="Times New Roman"/>
          <w:b w:val="0"/>
          <w:i w:val="0"/>
          <w:sz w:val="24"/>
        </w:rPr>
        <w:t xml:space="preserve">Ne discende una conseguenza operativa. Il numero di opere che affermano l'esistenza di una determinata filiazione iniziatica e privo di rilevanza probatoria se tutte discendono dalla medesima fonte. Nessun accumulo di titoli puo elevare oltre il livello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una catena che si riduce a un solo testimone. Cio non implica che la tradizione sia falsa, implica che non e verificabile, il che nel presente registro e proposizione diversa e va scritta diversamente.</w:t>
      </w:r>
    </w:p>
    <w:p>
      <w:pPr>
        <w:spacing w:line="276" w:lineRule="auto" w:after="120" w:before="0"/>
        <w:ind w:firstLine="425"/>
        <w:jc w:val="both"/>
      </w:pPr>
      <w:r>
        <w:rPr>
          <w:rFonts w:ascii="Times New Roman" w:hAnsi="Times New Roman" w:cs="Times New Roman" w:eastAsia="Times New Roman"/>
          <w:b w:val="0"/>
          <w:i w:val="0"/>
          <w:sz w:val="24"/>
        </w:rPr>
        <w:t>La regola si applica simmetricamente alla letteratura ostile. Le ricostruzioni che denunciano complotti iniziatici derivano frequentemente da un unico corpus polemico ottocentesco riprodotto per oltre un secolo attraverso citazioni di seconda mano. Anche in questo caso il numero delle occorrenze non aumenta il grado: lo ripete.</w:t>
      </w:r>
    </w:p>
    <w:p>
      <w:pPr>
        <w:spacing w:line="276" w:lineRule="auto" w:after="240" w:before="0"/>
        <w:ind w:firstLine="425"/>
        <w:jc w:val="both"/>
      </w:pPr>
      <w:r>
        <w:rPr>
          <w:rFonts w:ascii="Times New Roman" w:hAnsi="Times New Roman" w:cs="Times New Roman" w:eastAsia="Times New Roman"/>
          <w:b w:val="0"/>
          <w:i/>
          <w:sz w:val="22"/>
        </w:rPr>
        <w:t>Sintesi del dato nuovo acquisito: l'Indice di Contaminazione, applicato alle fonti iniziatiche e alle fonti antiiniziatiche, riduce entrambe le bibliografie a catene singole, e nessun accumulo bibliografico eleva il grado di una catena non ramificata.</w:t>
      </w:r>
    </w:p>
    <w:p>
      <w:pPr>
        <w:spacing w:line="276" w:lineRule="auto" w:after="160" w:before="240"/>
        <w:jc w:val="left"/>
      </w:pPr>
      <w:r>
        <w:rPr>
          <w:rFonts w:ascii="Times New Roman" w:hAnsi="Times New Roman" w:cs="Times New Roman" w:eastAsia="Times New Roman"/>
          <w:b/>
          <w:i w:val="0"/>
          <w:sz w:val="26"/>
        </w:rPr>
        <w:t>Blocco IV — Stati Zero del sacro: segreto istituzionale e non reperimento</w:t>
      </w:r>
    </w:p>
    <w:p>
      <w:pPr>
        <w:spacing w:line="276" w:lineRule="auto" w:after="120" w:before="0"/>
        <w:ind w:firstLine="425"/>
        <w:jc w:val="both"/>
      </w:pPr>
      <w:r>
        <w:rPr>
          <w:rFonts w:ascii="Times New Roman" w:hAnsi="Times New Roman" w:cs="Times New Roman" w:eastAsia="Times New Roman"/>
          <w:b w:val="0"/>
          <w:i w:val="0"/>
          <w:sz w:val="24"/>
        </w:rPr>
        <w:t>La Scala degli Stati Zero, applicata agli archivi religiosi, impone una distinzione che nel campo esoterico e piu insidiosa che altrove, ed e la distinzione fra impossibilita istituzionale e semplice non reperimento. Quando la documentazione di un dicastero della Santa Sede non e consultabile perche il fondo non e stato aperto alla consultazione secondo i termini stabiliti dalla normativa archivistica vaticana, si e in presenza di un'impossibilita istituzionale con sede archivistica determinata e condizione di chiusura enunciabile. Quando invece la documentazione di un'obbedienza massonica non e reperibile perche l'obbedienza non ha mai tenuto un archivio, o lo ha distrutto, o non consente accesso a terzi, si e in presenza di una situazione strutturalmente diversa, perche manca la sede.</w:t>
      </w:r>
    </w:p>
    <w:p>
      <w:pPr>
        <w:spacing w:line="276" w:lineRule="auto" w:after="120" w:before="0"/>
        <w:ind w:firstLine="425"/>
        <w:jc w:val="both"/>
      </w:pPr>
      <w:r>
        <w:rPr>
          <w:rFonts w:ascii="Times New Roman" w:hAnsi="Times New Roman" w:cs="Times New Roman" w:eastAsia="Times New Roman"/>
          <w:b w:val="0"/>
          <w:i w:val="0"/>
          <w:sz w:val="24"/>
        </w:rPr>
        <w:t>La distinzione ha un rendimento analitico immediato. Nel primo caso la condizione di chiusura e enunciabile e la lacuna e potenzialmente rimediabile: entra nella Tavola Unica ordinata per rimediabilita. Nel secondo caso la lacuna e definitiva e va dichiarata come tale, senza che l'analista si autorizzi a colmarla con inferenza.</w:t>
      </w:r>
    </w:p>
    <w:p>
      <w:pPr>
        <w:spacing w:line="276" w:lineRule="auto" w:after="120" w:before="0"/>
        <w:ind w:firstLine="425"/>
        <w:jc w:val="both"/>
      </w:pPr>
      <w:r>
        <w:rPr>
          <w:rFonts w:ascii="Times New Roman" w:hAnsi="Times New Roman" w:cs="Times New Roman" w:eastAsia="Times New Roman"/>
          <w:b w:val="0"/>
          <w:i w:val="0"/>
          <w:sz w:val="24"/>
        </w:rPr>
        <w:t>Va inoltre registrato un dato strutturale gia acquisito al registro e qui confermato per il dominio religioso: nessun archivio di un apparato di sicurezza ha mai aperto i propri fondi volontariamente, e tutte le aperture note sono derivate da pressione esterna. Il dato si estende agli apparati confessionali con una sola qualificazione: le aperture archivistiche vaticane degli ultimi decenni sono state deliberate dall'autorita ecclesiastica in assenza di pressione giudiziaria diretta, il che costituisce, allo stato, l'unica eccezione documentata alla regola e va registrata come tale.</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l'eccezione vaticana alla regola strutturale sulla non volontarieta delle aperture archivistiche, e si distingue in modo vincolante fra impossibilita istituzionale con sede e assenza di sede archivistica.</w:t>
      </w:r>
    </w:p>
    <w:p>
      <w:pPr>
        <w:spacing w:line="276" w:lineRule="auto" w:after="160" w:before="240"/>
        <w:jc w:val="left"/>
      </w:pPr>
      <w:r>
        <w:rPr>
          <w:rFonts w:ascii="Times New Roman" w:hAnsi="Times New Roman" w:cs="Times New Roman" w:eastAsia="Times New Roman"/>
          <w:b/>
          <w:i w:val="0"/>
          <w:sz w:val="26"/>
        </w:rPr>
        <w:t>Blocco V — Il divieto di inferenza simbolica</w:t>
      </w:r>
    </w:p>
    <w:p>
      <w:pPr>
        <w:spacing w:line="276" w:lineRule="auto" w:after="120" w:before="0"/>
        <w:ind w:firstLine="425"/>
        <w:jc w:val="both"/>
      </w:pPr>
      <w:r>
        <w:rPr>
          <w:rFonts w:ascii="Times New Roman" w:hAnsi="Times New Roman" w:cs="Times New Roman" w:eastAsia="Times New Roman"/>
          <w:b w:val="0"/>
          <w:i w:val="0"/>
          <w:sz w:val="24"/>
        </w:rPr>
        <w:t>Si stabilisce come regola vincolante della presente sezione che la presenza di un simbolo non costituisce prova di appartenenza, e che la coincidenza fra un simbolo e un contesto non costituisce prova di nesso. La regola e resa necessaria dal fatto che il materiale esoterico e per sua natura simbolico, e che il simbolo possiede una proprieta che lo rende trappola epistemologica: e polisemico, migra fra contesti incompatibili e viene riusato da attori privi di qualsiasi rapporto reciproco.</w:t>
      </w:r>
    </w:p>
    <w:p>
      <w:pPr>
        <w:spacing w:line="276" w:lineRule="auto" w:after="120" w:before="0"/>
        <w:ind w:firstLine="425"/>
        <w:jc w:val="both"/>
      </w:pPr>
      <w:r>
        <w:rPr>
          <w:rFonts w:ascii="Times New Roman" w:hAnsi="Times New Roman" w:cs="Times New Roman" w:eastAsia="Times New Roman"/>
          <w:b w:val="0"/>
          <w:i w:val="0"/>
          <w:sz w:val="24"/>
        </w:rPr>
        <w:t xml:space="preserve">L'esempio canonico e il ponte dei Frati Neri di Londra, luogo del ritrovamento del corpo di Roberto Calvi il diciotto giugno millenovecentottantadue. La letteratura ha ampiamente elaborato la coincidenza fra il nome del ponte e la denominazione informale dei membri di una loggia. La coincidenza esiste ed e un fatto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l'inferenza che da essa deriva la natura rituale dell'esecuzione e proposizione di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e va scritta come tale, tanto piu che il ponte si trova nell'area della City dove la vittima aveva effettivi interessi bancari, il che fornisce spiegazione alternativa non simbolica della scelta del luogo.</w:t>
      </w:r>
    </w:p>
    <w:p>
      <w:pPr>
        <w:spacing w:line="276" w:lineRule="auto" w:after="120" w:before="0"/>
        <w:ind w:firstLine="425"/>
        <w:jc w:val="both"/>
      </w:pPr>
      <w:r>
        <w:rPr>
          <w:rFonts w:ascii="Times New Roman" w:hAnsi="Times New Roman" w:cs="Times New Roman" w:eastAsia="Times New Roman"/>
          <w:b w:val="0"/>
          <w:i w:val="0"/>
          <w:sz w:val="24"/>
        </w:rPr>
        <w:t>La regola opera in entrambe le direzioni. Cosi come il simbolo non prova il nesso, la banalita del simbolo non prova la sua irrilevanza: la runa Wolfsangel adottata da Terza Posizione e simbolo diffuso, ma la sua adozione deliberata da parte di una formazione che ne conosceva la storia e dato di autocollocazione ideologica che va registrato. Cio che si vieta e il passaggio dal simbolo al fatto, non l'osservazione del simbolo.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il divieto di inferenza simbolica come regola formale della sezione esoterica, con applicazione bidirezionale e con il caso Blackfriars come esemplare designato.</w:t>
      </w:r>
    </w:p>
    <w:p>
      <w:pPr>
        <w:spacing w:line="276" w:lineRule="auto" w:after="160" w:before="240"/>
        <w:jc w:val="left"/>
      </w:pPr>
      <w:r>
        <w:rPr>
          <w:rFonts w:ascii="Times New Roman" w:hAnsi="Times New Roman" w:cs="Times New Roman" w:eastAsia="Times New Roman"/>
          <w:b/>
          <w:i w:val="0"/>
          <w:sz w:val="26"/>
        </w:rPr>
        <w:t>Blocco VI — Falsificatori designati per la sezione esoterica</w:t>
      </w:r>
    </w:p>
    <w:p>
      <w:pPr>
        <w:spacing w:line="276" w:lineRule="auto" w:after="120" w:before="0"/>
        <w:ind w:firstLine="425"/>
        <w:jc w:val="both"/>
      </w:pPr>
      <w:r>
        <w:rPr>
          <w:rFonts w:ascii="Times New Roman" w:hAnsi="Times New Roman" w:cs="Times New Roman" w:eastAsia="Times New Roman"/>
          <w:b w:val="0"/>
          <w:i w:val="0"/>
          <w:sz w:val="24"/>
        </w:rPr>
        <w:t>In conformita al principio popperiano e alla prassi consolidata del registro, che impone la designazione di un falsificatore permanente per ogni ipotesi maggiore, la presente sezione designa i propri falsificatori prima di svolgere il proprio argomento.</w:t>
      </w:r>
    </w:p>
    <w:p>
      <w:pPr>
        <w:spacing w:line="276" w:lineRule="auto" w:after="120" w:before="0"/>
        <w:ind w:firstLine="425"/>
        <w:jc w:val="both"/>
      </w:pPr>
      <w:r>
        <w:rPr>
          <w:rFonts w:ascii="Times New Roman" w:hAnsi="Times New Roman" w:cs="Times New Roman" w:eastAsia="Times New Roman"/>
          <w:b w:val="0"/>
          <w:i w:val="0"/>
          <w:sz w:val="24"/>
        </w:rPr>
        <w:t>Per l'ipotesi che il tradizionalismo integrale abbia funzionato come dottrina operativa dell'eversione neofascista italiana, il falsificatore designato e la dimostrazione che i riferimenti dottrinali comparissero soltanto nella pubblicistica esterna e non nei materiali interni di formazione dei quadri. Tale falsificatore e allo stato non soddisfatto, poiche i materiali di formazione acquisiti agli atti della Commissione parlamentare d'inchiesta contengono i riferimenti in questione.</w:t>
      </w:r>
    </w:p>
    <w:p>
      <w:pPr>
        <w:spacing w:line="276" w:lineRule="auto" w:after="120" w:before="0"/>
        <w:ind w:firstLine="425"/>
        <w:jc w:val="both"/>
      </w:pPr>
      <w:r>
        <w:rPr>
          <w:rFonts w:ascii="Times New Roman" w:hAnsi="Times New Roman" w:cs="Times New Roman" w:eastAsia="Times New Roman"/>
          <w:b w:val="0"/>
          <w:i w:val="0"/>
          <w:sz w:val="24"/>
        </w:rPr>
        <w:t xml:space="preserve">Per l'ipotesi che esista una struttura iniziatica unitaria sovraordinata alle strutture documentate, il falsificatore designato coincide con l'onere probatorio stesso: l'ipotesi non e stata falsificata perche non e stata mai formulata in modo falsificabile, e come tale non e ammessa nel registro neppure al livello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che richiede la falsificabilita come requisito di ingresso e non come pregio accessorio.</w:t>
      </w:r>
    </w:p>
    <w:p>
      <w:pPr>
        <w:spacing w:line="276" w:lineRule="auto" w:after="120" w:before="0"/>
        <w:ind w:firstLine="425"/>
        <w:jc w:val="both"/>
      </w:pPr>
      <w:r>
        <w:rPr>
          <w:rFonts w:ascii="Times New Roman" w:hAnsi="Times New Roman" w:cs="Times New Roman" w:eastAsia="Times New Roman"/>
          <w:b w:val="0"/>
          <w:i w:val="0"/>
          <w:sz w:val="24"/>
        </w:rPr>
        <w:t>Per l'ipotesi che la seduta spiritica di Zappolino sia stata copertura di una fonte riservata, il falsificatore designato e l'emersione di una testimonianza diretta e riscontrata della fonte protetta, oppure la dimostrazione documentale che nessun canale informativo alternativo fosse disponibile ai partecipanti nel periodo considerato.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acquisiscono tre falsificatori designati per la sezione, e si stabilisce che la falsificabilita costituisce requisito di ammissione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e non attributo accessorio di esso.</w:t>
      </w:r>
    </w:p>
    <w:p>
      <w:pPr>
        <w:spacing w:line="276" w:lineRule="auto" w:after="160" w:before="240"/>
        <w:jc w:val="left"/>
      </w:pPr>
      <w:r>
        <w:rPr>
          <w:rFonts w:ascii="Times New Roman" w:hAnsi="Times New Roman" w:cs="Times New Roman" w:eastAsia="Times New Roman"/>
          <w:b/>
          <w:i w:val="0"/>
          <w:sz w:val="26"/>
        </w:rPr>
        <w:t>Blocco VII — Rene Guenon: la dottrina prima della politica</w:t>
      </w:r>
    </w:p>
    <w:p>
      <w:pPr>
        <w:spacing w:line="276" w:lineRule="auto" w:after="120" w:before="0"/>
        <w:ind w:firstLine="425"/>
        <w:jc w:val="both"/>
      </w:pPr>
      <w:r>
        <w:rPr>
          <w:rFonts w:ascii="Times New Roman" w:hAnsi="Times New Roman" w:cs="Times New Roman" w:eastAsia="Times New Roman"/>
          <w:b w:val="0"/>
          <w:i w:val="0"/>
          <w:sz w:val="24"/>
        </w:rPr>
        <w:t xml:space="preserve">Rene Guenon, nato nel milleottocentottantasei e morto nel millenovecentocinquantuno, fondatore del tradizionalismo integrale e autore de La crisi del mondo moderno del millenovecentoventisette e di Oriente e Occidente, elabora una critica della modernita fondata sulla teoria dei cicli cosmici e sulla nozione di inversione, secondo cui l'intero mutamento occidentale a partire dal medioevo costituisce degradazione e non progresso. La sua biografia iniziatica e documentata con precisione: iniziato nel millenovecentoundici nella Triade taoista da de Pouvourville e nella Shadhiliyya Arabiyya da Ivan Agueli, assunse il nome di Abd al-Wahid Yahya e si trasferi al Cairo, dove visse in crescente isolamento. Il grado del dato biografico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Mark Sedgwick, nel volume Against the Modern World pubblicato dalla Oxford University Press nel duemilaquattro, introduce una precisazione rilevante che il registro accoglie: l'iniziazione del millenovecentoundici non fu conversione, e Guenon comincio a vivere da musulmano solo un decennio piu tardi. La precisazione non e cavillo erudito: separa il piano dottrinale dal piano confessionale, ed e la stessa separazione che rendera possibile, nella generazione successiva, l'uso politico del corpus guenoniano da parte di attori confessionalmente incompatibili fra loro.</w:t>
      </w:r>
    </w:p>
    <w:p>
      <w:pPr>
        <w:spacing w:line="276" w:lineRule="auto" w:after="120" w:before="0"/>
        <w:ind w:firstLine="425"/>
        <w:jc w:val="both"/>
      </w:pPr>
      <w:r>
        <w:rPr>
          <w:rFonts w:ascii="Times New Roman" w:hAnsi="Times New Roman" w:cs="Times New Roman" w:eastAsia="Times New Roman"/>
          <w:b w:val="0"/>
          <w:i w:val="0"/>
          <w:sz w:val="24"/>
        </w:rPr>
        <w:t>Va registrato con nettezza che nulla nella biografia e nell'opera di Guenon lo colloca in un dominio operativo del registro. Egli non e nodo del grafo per condotta propria: e nodo del grafo per effetto di ricezione, cioe perche il suo corpus e stato adottato come materiale di formazione da strutture che hanno agito. La distinzione fra nodo per condotta e nodo per ricezione e formalizzata qui per la prima volta e vale per l'intera sezione.</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distinzione formale fra nodo per condotta e nodo per ricezione, e si colloca Guenon esclusivamente nella seconda categoria, con divieto di attribuzione di condotta operativa.</w:t>
      </w:r>
    </w:p>
    <w:p>
      <w:pPr>
        <w:spacing w:line="276" w:lineRule="auto" w:after="160" w:before="240"/>
        <w:jc w:val="left"/>
      </w:pPr>
      <w:r>
        <w:rPr>
          <w:rFonts w:ascii="Times New Roman" w:hAnsi="Times New Roman" w:cs="Times New Roman" w:eastAsia="Times New Roman"/>
          <w:b/>
          <w:i w:val="0"/>
          <w:sz w:val="26"/>
        </w:rPr>
        <w:t>Blocco VIII — Julius Evola: la sincope della tradizione romana</w:t>
      </w:r>
    </w:p>
    <w:p>
      <w:pPr>
        <w:spacing w:line="276" w:lineRule="auto" w:after="120" w:before="0"/>
        <w:ind w:firstLine="425"/>
        <w:jc w:val="both"/>
      </w:pPr>
      <w:r>
        <w:rPr>
          <w:rFonts w:ascii="Times New Roman" w:hAnsi="Times New Roman" w:cs="Times New Roman" w:eastAsia="Times New Roman"/>
          <w:b w:val="0"/>
          <w:i w:val="0"/>
          <w:sz w:val="24"/>
        </w:rPr>
        <w:t>Julius Evola, in Imperialismo pagano del millenovecentoventotto, definisce il cristianesimo sincope della tradizione romana e principale responsabile della degenerazione del mondo moderno. La formula ha rilievo per il registro perche stabilisce, alle origini del pensiero evoliano, una posizione anticristiana esplicita che rendera problematiche, quarant'anni piu tardi, le alleanze operative con strutture di matrice cattolica integralista.</w:t>
      </w:r>
    </w:p>
    <w:p>
      <w:pPr>
        <w:spacing w:line="276" w:lineRule="auto" w:after="120" w:before="0"/>
        <w:ind w:firstLine="425"/>
        <w:jc w:val="both"/>
      </w:pPr>
      <w:r>
        <w:rPr>
          <w:rFonts w:ascii="Times New Roman" w:hAnsi="Times New Roman" w:cs="Times New Roman" w:eastAsia="Times New Roman"/>
          <w:b w:val="0"/>
          <w:i w:val="0"/>
          <w:sz w:val="24"/>
        </w:rPr>
        <w:t xml:space="preserve">L'attenuazione successiva e documentata e va registrata per non produrre una rappresentazione statica del soggetto: a partire da Rivolta contro il mondo moderno del millenovecentotrentaquattro, Evola rivaluta il cattolicesimo medievale e ghibellino, riconoscendovi una dimensione imperiale compatibile con il proprio quadro. Non si converti mai. La Fondazione Julius Evola, citando Gianfranco de Turris, precisa che la sua spiritualita nulla aveva a che vedere con una religiosita di tipo devozionale. Il grado di questo secondo dato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poiche la fonte, pur specificamente competente, e interna alla tradizione di studi evoliani e va registrata con l'avvertenza di parte.</w:t>
      </w:r>
    </w:p>
    <w:p>
      <w:pPr>
        <w:spacing w:line="276" w:lineRule="auto" w:after="120" w:before="0"/>
        <w:ind w:firstLine="425"/>
        <w:jc w:val="both"/>
      </w:pPr>
      <w:r>
        <w:rPr>
          <w:rFonts w:ascii="Times New Roman" w:hAnsi="Times New Roman" w:cs="Times New Roman" w:eastAsia="Times New Roman"/>
          <w:b w:val="0"/>
          <w:i w:val="0"/>
          <w:sz w:val="24"/>
        </w:rPr>
        <w:t>Il rendimento analitico del blocco non e biografico ma strutturale. Evola offre alla destra radicale italiana del dopoguerra una legittimazione metafisica dell'ineguaglianza e dell'azione, cioe un fondamento che non e nazionale, non e confessionale e non e storico, e che percio puo circolare transnazionalmente senza attrito. E precisamente questa proprieta di circolabilita che ne fa un nodo di alta intermediazione nel grafo.</w:t>
      </w:r>
    </w:p>
    <w:p>
      <w:pPr>
        <w:spacing w:line="276" w:lineRule="auto" w:after="240" w:before="0"/>
        <w:ind w:firstLine="425"/>
        <w:jc w:val="both"/>
      </w:pPr>
      <w:r>
        <w:rPr>
          <w:rFonts w:ascii="Times New Roman" w:hAnsi="Times New Roman" w:cs="Times New Roman" w:eastAsia="Times New Roman"/>
          <w:b w:val="0"/>
          <w:i/>
          <w:sz w:val="22"/>
        </w:rPr>
        <w:t>Sintesi del dato nuovo acquisito: la trasportabilita transnazionale della dottrina evoliana, derivante dal suo carattere non nazionale e non confessionale, e identificata come la proprieta che ne determina l'alta centralita di intermediazione nel grafo.</w:t>
      </w:r>
    </w:p>
    <w:p>
      <w:pPr>
        <w:spacing w:line="276" w:lineRule="auto" w:after="160" w:before="240"/>
        <w:jc w:val="left"/>
      </w:pPr>
      <w:r>
        <w:rPr>
          <w:rFonts w:ascii="Times New Roman" w:hAnsi="Times New Roman" w:cs="Times New Roman" w:eastAsia="Times New Roman"/>
          <w:b/>
          <w:i w:val="0"/>
          <w:sz w:val="26"/>
        </w:rPr>
        <w:t>Blocco IX — La divergenza Guenon-Evola sulle caste e il suo effetto operativo</w:t>
      </w:r>
    </w:p>
    <w:p>
      <w:pPr>
        <w:spacing w:line="276" w:lineRule="auto" w:after="120" w:before="0"/>
        <w:ind w:firstLine="425"/>
        <w:jc w:val="both"/>
      </w:pPr>
      <w:r>
        <w:rPr>
          <w:rFonts w:ascii="Times New Roman" w:hAnsi="Times New Roman" w:cs="Times New Roman" w:eastAsia="Times New Roman"/>
          <w:b w:val="0"/>
          <w:i w:val="0"/>
          <w:sz w:val="24"/>
        </w:rPr>
        <w:t xml:space="preserve">Il rapporto fra Guenon ed Evola presenta convergenze e divergenze che la letteratura ha ricostruito e che il registro acquisisce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sulla base di Sedgwick. Convergono sulla critica del mondo moderno e sul primato della Tradizione. Divergono su un punto dottrinale la cui portata operativa e stata sottovalutata: Guenon, in Autorite spirituelle et pouvoir temporel del millenovecentoventinove, afferma la superiorita dell'autorita spirituale, il brahmana, su quella temporale, lo kshatriya; Evola, nietzschiano, rifiuta tale subordinazione, esalta l'azione guerriera e sostiene che le due caste fossero originariamente una sola.</w:t>
      </w:r>
    </w:p>
    <w:p>
      <w:pPr>
        <w:spacing w:line="276" w:lineRule="auto" w:after="120" w:before="0"/>
        <w:ind w:firstLine="425"/>
        <w:jc w:val="both"/>
      </w:pPr>
      <w:r>
        <w:rPr>
          <w:rFonts w:ascii="Times New Roman" w:hAnsi="Times New Roman" w:cs="Times New Roman" w:eastAsia="Times New Roman"/>
          <w:b w:val="0"/>
          <w:i w:val="0"/>
          <w:sz w:val="24"/>
        </w:rPr>
        <w:t>La divergenza appare astrusa e non lo e. Nella versione guenoniana la militanza politica e subordinata a un'autorita contemplativa che nessuna organizzazione militante possiede, il che produce quietismo. Nella versione evoliana la militanza guerriera e essa stessa forma suprema della spiritualita, il che produce autorizzazione. La stessa premessa metafisica genera, a seconda della soluzione adottata sul rapporto fra le caste, ritiro o azione.</w:t>
      </w:r>
    </w:p>
    <w:p>
      <w:pPr>
        <w:spacing w:line="276" w:lineRule="auto" w:after="120" w:before="0"/>
        <w:ind w:firstLine="425"/>
        <w:jc w:val="both"/>
      </w:pPr>
      <w:r>
        <w:rPr>
          <w:rFonts w:ascii="Times New Roman" w:hAnsi="Times New Roman" w:cs="Times New Roman" w:eastAsia="Times New Roman"/>
          <w:b w:val="0"/>
          <w:i w:val="0"/>
          <w:sz w:val="24"/>
        </w:rPr>
        <w:t xml:space="preserve">Ne discende un criterio diagnostico utilizzabile nel grafo: nelle strutture in cui prevale la lettura guenoniana ci si attende produzione editoriale e scarsa operativita; nelle strutture in cui prevale la lettura evoliana ci si attende operativita. La verifica di questo criterio contro il corpus e coerente, ma il grado resta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perche il criterio non e stato sottoposto a test statistico formale e la coerenza osservata potrebbe derivare da selezione delle strutture esaminate.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come ipotesi di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diagnostico secondo cui la soluzione adottata sul rapporto fra casta sacerdotale e casta guerriera predice il carattere quietista o operativo della struttura che adotta la dottrina.</w:t>
      </w:r>
    </w:p>
    <w:p>
      <w:pPr>
        <w:spacing w:line="276" w:lineRule="auto" w:after="160" w:before="240"/>
        <w:jc w:val="left"/>
      </w:pPr>
      <w:r>
        <w:rPr>
          <w:rFonts w:ascii="Times New Roman" w:hAnsi="Times New Roman" w:cs="Times New Roman" w:eastAsia="Times New Roman"/>
          <w:b/>
          <w:i w:val="0"/>
          <w:sz w:val="26"/>
        </w:rPr>
        <w:t>Blocco X — La dottrina dello Stato vuoto e la rete capillare</w:t>
      </w:r>
    </w:p>
    <w:p>
      <w:pPr>
        <w:spacing w:line="276" w:lineRule="auto" w:after="120" w:before="0"/>
        <w:ind w:firstLine="425"/>
        <w:jc w:val="both"/>
      </w:pPr>
      <w:r>
        <w:rPr>
          <w:rFonts w:ascii="Times New Roman" w:hAnsi="Times New Roman" w:cs="Times New Roman" w:eastAsia="Times New Roman"/>
          <w:b w:val="0"/>
          <w:i w:val="0"/>
          <w:sz w:val="24"/>
        </w:rPr>
        <w:t>Il blocco documenta il passaggio dalla dottrina all'operativita e costituisce uno dei nodi piu solidi dell'intera sezione, poiche il testo evoliano rilevante e citato negli atti della Commissione parlamentare d'inchiesta sulle stragi come chiave interpretativa della natura di Ordine Nuovo.</w:t>
      </w:r>
    </w:p>
    <w:p>
      <w:pPr>
        <w:spacing w:line="276" w:lineRule="auto" w:after="120" w:before="0"/>
        <w:ind w:firstLine="425"/>
        <w:jc w:val="both"/>
      </w:pPr>
      <w:r>
        <w:rPr>
          <w:rFonts w:ascii="Times New Roman" w:hAnsi="Times New Roman" w:cs="Times New Roman" w:eastAsia="Times New Roman"/>
          <w:b w:val="0"/>
          <w:i w:val="0"/>
          <w:sz w:val="24"/>
        </w:rPr>
        <w:t>La Commissione osserva che la matrice evoliana conferisce al movimento nazionale un ruolo non antagonista rispetto allo Stato, e che la possibilita di utilizzare tale movimento in funzione antisovversiva di difesa dello Stato costituisce una costante, almeno nella prima fase, del pensiero di Evola. La citazione riportata negli atti e decisiva: per difendere lo Stato ormai ostaggio delle masse organizzate occorreva creare una rete capillare intesa a fornire prontamente elementi di impiego per fronteggiare ovunque l'emergenza, avendo come fine anzitutto e prima di tutto la difesa contro la piazza dello Stato e dell'autorita dello Stato, persino quando esso e uno Stato vuoto, e non la loro negazione.</w:t>
      </w:r>
    </w:p>
    <w:p>
      <w:pPr>
        <w:spacing w:line="276" w:lineRule="auto" w:after="120" w:before="0"/>
        <w:ind w:firstLine="425"/>
        <w:jc w:val="both"/>
      </w:pPr>
      <w:r>
        <w:rPr>
          <w:rFonts w:ascii="Times New Roman" w:hAnsi="Times New Roman" w:cs="Times New Roman" w:eastAsia="Times New Roman"/>
          <w:b w:val="0"/>
          <w:i w:val="0"/>
          <w:sz w:val="24"/>
        </w:rPr>
        <w:t xml:space="preserve">La portata di questo passaggio e difficilmente sopravvalutabile e va enunciata con precisione. La dottrina non prescrive di abbattere lo Stato: prescrive di costituire una struttura parallela che ne difenda l'autorita contro la societa, indipendentemente da chi occupi le istituzioni. E la formalizzazione dottrinale della compatibilita fra eversione e lealta atlantica, e spiega perche il movimento nazionale dovesse individuare, all'interno dello Stato, quei corpi sani cui fare riferimento, identificati negli atti come i paracadutisti, la polizia, i carabinieri. Il grado del dato documentale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con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la dottrina evoliana della rete capillare a difesa dello Stato vuoto come fondamento dottrinale esplicito della compatibilita strutturale fra eversione neofascista e apparati, superando la lettura corrente dell'eversione nera come fenomeno antistatuale.</w:t>
      </w:r>
    </w:p>
    <w:p>
      <w:pPr>
        <w:spacing w:line="276" w:lineRule="auto" w:after="160" w:before="240"/>
        <w:jc w:val="left"/>
      </w:pPr>
      <w:r>
        <w:rPr>
          <w:rFonts w:ascii="Times New Roman" w:hAnsi="Times New Roman" w:cs="Times New Roman" w:eastAsia="Times New Roman"/>
          <w:b/>
          <w:i w:val="0"/>
          <w:sz w:val="26"/>
        </w:rPr>
        <w:t>Blocco XI — Franco Freda e la teorizzazione dello Stato popolare</w:t>
      </w:r>
    </w:p>
    <w:p>
      <w:pPr>
        <w:spacing w:line="276" w:lineRule="auto" w:after="120" w:before="0"/>
        <w:ind w:firstLine="425"/>
        <w:jc w:val="both"/>
      </w:pPr>
      <w:r>
        <w:rPr>
          <w:rFonts w:ascii="Times New Roman" w:hAnsi="Times New Roman" w:cs="Times New Roman" w:eastAsia="Times New Roman"/>
          <w:b w:val="0"/>
          <w:i w:val="0"/>
          <w:sz w:val="24"/>
        </w:rPr>
        <w:t>La parabola del pensiero evoliano, come ricostruita negli atti parlamentari, conduce a una visione progressivamente piu tragica, all'idea dell'isolamento e del distacco dell'uomo da una societa borghese la cui crisi e ritenuta definitiva e irreversibile, per approdare a un impegno politico che si concretizza in una milizia eroica. Gli atti registrano due esiti distinti di questo approdo: la costruzione di uno stato popolare nella teorizzazione che ne fa Franco Freda, e l'esaltazione del gesto come affermazione dei valori di superiorita e disuguaglianza.</w:t>
      </w:r>
    </w:p>
    <w:p>
      <w:pPr>
        <w:spacing w:line="276" w:lineRule="auto" w:after="120" w:before="0"/>
        <w:ind w:firstLine="425"/>
        <w:jc w:val="both"/>
      </w:pPr>
      <w:r>
        <w:rPr>
          <w:rFonts w:ascii="Times New Roman" w:hAnsi="Times New Roman" w:cs="Times New Roman" w:eastAsia="Times New Roman"/>
          <w:b w:val="0"/>
          <w:i w:val="0"/>
          <w:sz w:val="24"/>
        </w:rPr>
        <w:t>La biforcazione e analiticamente rilevante perche distingue due economie della violenza. La prima e strumentale: la violenza serve a costruire un ordine e presuppone un progetto politico, sia pure eversivo. La seconda e autotelica: il gesto vale per se, come affermazione, e non richiede progetto. Le due economie producono profili operativi differenti e reclutano personalita differenti, e la loro compresenza nella medesima area spiega la coesistenza, nella cronologia italiana, di condotte stragiste finalizzate a un effetto politico e di condotte violente prive di finalizzazione riconoscibile.</w:t>
      </w:r>
    </w:p>
    <w:p>
      <w:pPr>
        <w:spacing w:line="276" w:lineRule="auto" w:after="120" w:before="0"/>
        <w:ind w:firstLine="425"/>
        <w:jc w:val="both"/>
      </w:pPr>
      <w:r>
        <w:rPr>
          <w:rFonts w:ascii="Times New Roman" w:hAnsi="Times New Roman" w:cs="Times New Roman" w:eastAsia="Times New Roman"/>
          <w:b w:val="0"/>
          <w:i w:val="0"/>
          <w:sz w:val="24"/>
        </w:rPr>
        <w:t>Il registro non attribuisce condotte in questa sede. Freda compare qui esclusivamente come autore di una teorizzazione documentata negli atti parlamentari, e le vicende giudiziarie che lo riguardano sono trattate nelle sezioni processuali del registro secondo la disciplina propria e con la distinzione fra verita storica e verita giudiziaria gia acquisita.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biforcazione fra economia strumentale ed economia autotelica della violenza come esito documentato della parabola evoliana, con valore predittivo sui profili operativi delle strutture.</w:t>
      </w:r>
    </w:p>
    <w:p>
      <w:pPr>
        <w:spacing w:line="276" w:lineRule="auto" w:after="160" w:before="240"/>
        <w:jc w:val="left"/>
      </w:pPr>
      <w:r>
        <w:rPr>
          <w:rFonts w:ascii="Times New Roman" w:hAnsi="Times New Roman" w:cs="Times New Roman" w:eastAsia="Times New Roman"/>
          <w:b/>
          <w:i w:val="0"/>
          <w:sz w:val="26"/>
        </w:rPr>
        <w:t>Blocco XII — Pino Rauti, Ordine Nuovo e la struttura semiclandestina</w:t>
      </w:r>
    </w:p>
    <w:p>
      <w:pPr>
        <w:spacing w:line="276" w:lineRule="auto" w:after="120" w:before="0"/>
        <w:ind w:firstLine="425"/>
        <w:jc w:val="both"/>
      </w:pPr>
      <w:r>
        <w:rPr>
          <w:rFonts w:ascii="Times New Roman" w:hAnsi="Times New Roman" w:cs="Times New Roman" w:eastAsia="Times New Roman"/>
          <w:b w:val="0"/>
          <w:i w:val="0"/>
          <w:sz w:val="24"/>
        </w:rPr>
        <w:t xml:space="preserve">Ordine Nuovo, fondato nel millenovecentocinquantasei, risulta gia caratterizzato dalla sentenza del Tribunale di Roma del ventuno novembre millenovecentosettantatre come movimento semiclandestino, fortemente gerarchizzato, con direzione politica centralizzata, orientato a muoversi in gruppi di pochissime persone capaci di mobilitare di volta in volta un'area di simpatizzanti, ispirato a una concezione elitaria e mitica dello Stato, antidemocratica e antiborghese, in assoluta contrapposizione con la democrazia parlamentare, ma almeno in parte non antistituzionale.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trattandosi di accertamento giurisdizionale.</w:t>
      </w:r>
    </w:p>
    <w:p>
      <w:pPr>
        <w:spacing w:line="276" w:lineRule="auto" w:after="120" w:before="0"/>
        <w:ind w:firstLine="425"/>
        <w:jc w:val="both"/>
      </w:pPr>
      <w:r>
        <w:rPr>
          <w:rFonts w:ascii="Times New Roman" w:hAnsi="Times New Roman" w:cs="Times New Roman" w:eastAsia="Times New Roman"/>
          <w:b w:val="0"/>
          <w:i w:val="0"/>
          <w:sz w:val="24"/>
        </w:rPr>
        <w:t>L'ultima clausola merita attenzione analitica: la Commissione la qualifica esplicitamente come effetto della matrice evoliana, saldando il blocco precedente a questo. Un movimento antidemocratico ma non antistituzionale e esattamente il prodotto dottrinale della rete capillare a difesa dello Stato vuoto. La struttura organizzativa a piccoli gruppi mobilitanti, del resto, non e forma di partito ma forma di rete, e corrisponde topologicamente al modello che il registro identifica altrove come isomorfismo strutturale fra loggia coperta e struttura stay-behind.</w:t>
      </w:r>
    </w:p>
    <w:p>
      <w:pPr>
        <w:spacing w:line="276" w:lineRule="auto" w:after="120" w:before="0"/>
        <w:ind w:firstLine="425"/>
        <w:jc w:val="both"/>
      </w:pPr>
      <w:r>
        <w:rPr>
          <w:rFonts w:ascii="Times New Roman" w:hAnsi="Times New Roman" w:cs="Times New Roman" w:eastAsia="Times New Roman"/>
          <w:b w:val="0"/>
          <w:i w:val="0"/>
          <w:sz w:val="24"/>
        </w:rPr>
        <w:t>Gli atti registrano inoltre la diffusione territoriale con nuclei forti nel Veneto e a Roma e articolazioni in Campania, Sicilia e Calabria, e caratteri razzisti e antiebraici nei documenti ideologici acquisiti. La coincidenza fra le aree di maggiore radicamento e le aree di successiva convergenza con la criminalita organizzata e registrata come dato spaziale e trattata nella sezione dedicata alla convergenza geografica, senza che dalla sola coincidenza si inferisca nesso.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il nesso, esplicitato dagli atti parlamentari, fra matrice dottrinale evoliana e carattere non antistituzionale della struttura, e si registra la corrispondenza topologica fra la forma organizzativa ordinovista e il modello della rete coperta.</w:t>
      </w:r>
    </w:p>
    <w:p>
      <w:pPr>
        <w:spacing w:line="276" w:lineRule="auto" w:after="160" w:before="240"/>
        <w:jc w:val="left"/>
      </w:pPr>
      <w:r>
        <w:rPr>
          <w:rFonts w:ascii="Times New Roman" w:hAnsi="Times New Roman" w:cs="Times New Roman" w:eastAsia="Times New Roman"/>
          <w:b/>
          <w:i w:val="0"/>
          <w:sz w:val="26"/>
        </w:rPr>
        <w:t>Blocco XIII — Le scuole quadri e la bibliografia della formazione</w:t>
      </w:r>
    </w:p>
    <w:p>
      <w:pPr>
        <w:spacing w:line="276" w:lineRule="auto" w:after="120" w:before="0"/>
        <w:ind w:firstLine="425"/>
        <w:jc w:val="both"/>
      </w:pPr>
      <w:r>
        <w:rPr>
          <w:rFonts w:ascii="Times New Roman" w:hAnsi="Times New Roman" w:cs="Times New Roman" w:eastAsia="Times New Roman"/>
          <w:b w:val="0"/>
          <w:i w:val="0"/>
          <w:sz w:val="24"/>
        </w:rPr>
        <w:t xml:space="preserve">Il documento d'epoca acquisito agli atti prevede la preparazione dei quadri mediante due corsi distinti, uno di formazione ideologica e l'altro di formazione politica, e ne indica i riferimenti bibliografici. Tali riferimenti sono Guenon, Evola, Giannettini con La tecnica della guerra rivoluzionaria e il Mein Kampf di Hitler.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trattandosi di documento acquisito.</w:t>
      </w:r>
    </w:p>
    <w:p>
      <w:pPr>
        <w:spacing w:line="276" w:lineRule="auto" w:after="120" w:before="0"/>
        <w:ind w:firstLine="425"/>
        <w:jc w:val="both"/>
      </w:pPr>
      <w:r>
        <w:rPr>
          <w:rFonts w:ascii="Times New Roman" w:hAnsi="Times New Roman" w:cs="Times New Roman" w:eastAsia="Times New Roman"/>
          <w:b w:val="0"/>
          <w:i w:val="0"/>
          <w:sz w:val="24"/>
        </w:rPr>
        <w:t>Questo elenco e il singolo dato piu importante dell'intera sezione, e va enunciato con precisione perche costituisce l'anello che la letteratura ha sovente asserito e raramente documentato. La compresenza, in una medesima bibliografia di formazione, di un metafisico tradizionalista, di un teorico della Tradizione politicizzata, di un manuale di guerra non ortodossa redatto da un pubblicista organico ai servizi e di un testo fondativo del nazismo, dimostra che nella percezione degli estensori del programma non esisteva soluzione di continuita fra il piano metafisico e il piano tecnico-operativo. La metafisica non era cornice del manuale: era il primo capitolo dello stesso corso.</w:t>
      </w:r>
    </w:p>
    <w:p>
      <w:pPr>
        <w:spacing w:line="276" w:lineRule="auto" w:after="120" w:before="0"/>
        <w:ind w:firstLine="425"/>
        <w:jc w:val="both"/>
      </w:pPr>
      <w:r>
        <w:rPr>
          <w:rFonts w:ascii="Times New Roman" w:hAnsi="Times New Roman" w:cs="Times New Roman" w:eastAsia="Times New Roman"/>
          <w:b w:val="0"/>
          <w:i w:val="0"/>
          <w:sz w:val="24"/>
        </w:rPr>
        <w:t xml:space="preserve">Gli atti collegano inoltre questi temi a quelli gia proposti dai convegni dell'Istituto Pollio negli anni precedenti, stabilendo un raccordo documentale fra la formazione dei quadri extraparlamentari e una sede di elaborazione dottrinale a partecipazione mista. Il raccordo e registrato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alla coincidenza tematica affermata dagli atti, con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derivazione causale, che gli atti suggeriscono senza dimostrarla.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con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la prova documentale della continuita, interna ai programmi di formazione dei quadri, fra corpus metafisico tradizionalista e manualistica di guerra non ortodossa, e si registra come acquisizione centrale della sezione.</w:t>
      </w:r>
    </w:p>
    <w:p>
      <w:pPr>
        <w:spacing w:line="276" w:lineRule="auto" w:after="160" w:before="240"/>
        <w:jc w:val="left"/>
      </w:pPr>
      <w:r>
        <w:rPr>
          <w:rFonts w:ascii="Times New Roman" w:hAnsi="Times New Roman" w:cs="Times New Roman" w:eastAsia="Times New Roman"/>
          <w:b/>
          <w:i w:val="0"/>
          <w:sz w:val="26"/>
        </w:rPr>
        <w:t>Blocco XIV — L'Istituto Pollio e la guerra rivoluzionaria come teologia politica secolarizzata</w:t>
      </w:r>
    </w:p>
    <w:p>
      <w:pPr>
        <w:spacing w:line="276" w:lineRule="auto" w:after="120" w:before="0"/>
        <w:ind w:firstLine="425"/>
        <w:jc w:val="both"/>
      </w:pPr>
      <w:r>
        <w:rPr>
          <w:rFonts w:ascii="Times New Roman" w:hAnsi="Times New Roman" w:cs="Times New Roman" w:eastAsia="Times New Roman"/>
          <w:b w:val="0"/>
          <w:i w:val="0"/>
          <w:sz w:val="24"/>
        </w:rPr>
        <w:t xml:space="preserve">Il convegno organizzato presso l'Istituto Alberto Pollio nel millenovecentosessantacinque costituisce, nel corpus, la sede in cui la dottrina della guerra rivoluzionaria viene trasferita dal contesto francese algerino al contesto italiano, con partecipazione mista di ufficiali, pubblicisti ed esponenti dell'area radicale. Il dato dell'esistenza del convegno e della sua composizione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Cio che interessa la presente sezione e la struttura concettuale della dottrina esposta, che presenta una morfologia riconoscibilmente teologica pur essendo formulata in linguaggio militare. Essa postula un avversario che non e uno Stato ma un principio pervasivo, invisibile e capace di infiltrare qualsiasi istituzione; postula che il conflitto non abbia fronti e sia percio permanente e totale; postula che la vittoria richieda l'adesione delle popolazioni e quindi un'azione sulle coscienze prima che sui territori; postula infine che il combattente legittimo non sia definito dall'uniforme ma dalla fedelta a un ordine superiore all'ordinamento positivo.</w:t>
      </w:r>
    </w:p>
    <w:p>
      <w:pPr>
        <w:spacing w:line="276" w:lineRule="auto" w:after="120" w:before="0"/>
        <w:ind w:firstLine="425"/>
        <w:jc w:val="both"/>
      </w:pPr>
      <w:r>
        <w:rPr>
          <w:rFonts w:ascii="Times New Roman" w:hAnsi="Times New Roman" w:cs="Times New Roman" w:eastAsia="Times New Roman"/>
          <w:b w:val="0"/>
          <w:i w:val="0"/>
          <w:sz w:val="24"/>
        </w:rPr>
        <w:t xml:space="preserve">Ciascuno di questi quattro postulati corrisponde a una proposizione della teologia politica controrivoluzionaria ottocentesca. La dottrina della guerra rivoluzionaria non e dunque, sul piano strutturale, dottrina militare con accessori ideologici: e teologia politica secolarizzata in forma di manuale. Questa qualificazione, che il registro formula qui per la prima volta, ha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in quanto ricostruzione strutturale del testo e non affermazione di fatto, ed e falsificabile mediante dimostrazione che i postulati elencati derivino integralmente dall'esperienza operativa algerina senza mediazione dottrinale.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la dottrina della guerra rivoluzionaria e qualificata con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come teologia politica secolarizzata sulla base della corrispondenza dei suoi quattro postulati fondamentali con proposizioni della controrivoluzione ottocentesca, con falsificatore designato.</w:t>
      </w:r>
    </w:p>
    <w:p>
      <w:pPr>
        <w:spacing w:line="276" w:lineRule="auto" w:after="160" w:before="240"/>
        <w:jc w:val="left"/>
      </w:pPr>
      <w:r>
        <w:rPr>
          <w:rFonts w:ascii="Times New Roman" w:hAnsi="Times New Roman" w:cs="Times New Roman" w:eastAsia="Times New Roman"/>
          <w:b/>
          <w:i w:val="0"/>
          <w:sz w:val="26"/>
        </w:rPr>
        <w:t>Blocco XV — Terza Posizione: genesi documentata</w:t>
      </w:r>
    </w:p>
    <w:p>
      <w:pPr>
        <w:spacing w:line="276" w:lineRule="auto" w:after="120" w:before="0"/>
        <w:ind w:firstLine="425"/>
        <w:jc w:val="both"/>
      </w:pPr>
      <w:r>
        <w:rPr>
          <w:rFonts w:ascii="Times New Roman" w:hAnsi="Times New Roman" w:cs="Times New Roman" w:eastAsia="Times New Roman"/>
          <w:b w:val="0"/>
          <w:i w:val="0"/>
          <w:sz w:val="24"/>
        </w:rPr>
        <w:t xml:space="preserve">Terza Posizione nasce a Roma nel millenovecentosettantotto dall'esperienza di Lotta Studentesca per iniziativa di Roberto Fiore, Gabriele Adinolfi e Peppe Dimitri, e si scioglie nel millenovecentottantadue. Il registro le attribuisce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in coerenza con la scheda gia acquisita al corpus, quanto alla ricostruzione complessiva della struttura, e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ai dati anagrafici e agli esiti giudiziari individuali.</w:t>
      </w:r>
    </w:p>
    <w:p>
      <w:pPr>
        <w:spacing w:line="276" w:lineRule="auto" w:after="120" w:before="0"/>
        <w:ind w:firstLine="425"/>
        <w:jc w:val="both"/>
      </w:pPr>
      <w:r>
        <w:rPr>
          <w:rFonts w:ascii="Times New Roman" w:hAnsi="Times New Roman" w:cs="Times New Roman" w:eastAsia="Times New Roman"/>
          <w:b w:val="0"/>
          <w:i w:val="0"/>
          <w:sz w:val="24"/>
        </w:rPr>
        <w:t>Roberto Fiore, nato a Roma nel millenovecentocinquantanove, e documentato come esponente di Terza Posizione, latitante in Inghilterra negli anni Ottanta e successivamente fondatore di Forza Nuova nel millenovecentonovantasette; e stato condannato dalla magistratura italiana per associazione sovversiva e banda armata nel millenovecentottantacinque. Gabriele Adinolfi, nato a Roma nel millenovecentocinquantaquattro, e documentato come esponente della medesima formazione, latitante in Francia. Il cofondatore Massimo Morsello, cantautore, fu ritenuto membro dei Nuclei Armati Rivoluzionari e condannato nel medesimo anno per gli stessi reati.</w:t>
      </w:r>
    </w:p>
    <w:p>
      <w:pPr>
        <w:spacing w:line="276" w:lineRule="auto" w:after="120" w:before="0"/>
        <w:ind w:firstLine="425"/>
        <w:jc w:val="both"/>
      </w:pPr>
      <w:r>
        <w:rPr>
          <w:rFonts w:ascii="Times New Roman" w:hAnsi="Times New Roman" w:cs="Times New Roman" w:eastAsia="Times New Roman"/>
          <w:b w:val="0"/>
          <w:i w:val="0"/>
          <w:sz w:val="24"/>
        </w:rPr>
        <w:t>La latitanza di entrambi inizia nel millenovecentottanta a seguito dei mandati di cattura emessi a margine delle indagini sui fatti di Bologna. Questa circostanza cronologica e essenziale per i blocchi successivi, poiche colloca l'intera vicenda londinese e la successiva costruzione internazionale in rapporto diretto con l'evento stragista e non in una sequenza autonoma.</w:t>
      </w:r>
    </w:p>
    <w:p>
      <w:pPr>
        <w:spacing w:line="276" w:lineRule="auto" w:after="240" w:before="0"/>
        <w:ind w:firstLine="425"/>
        <w:jc w:val="both"/>
      </w:pPr>
      <w:r>
        <w:rPr>
          <w:rFonts w:ascii="Times New Roman" w:hAnsi="Times New Roman" w:cs="Times New Roman" w:eastAsia="Times New Roman"/>
          <w:b w:val="0"/>
          <w:i/>
          <w:sz w:val="22"/>
        </w:rPr>
        <w:t>Sintesi del dato nuovo acquisito: si fissa la cronologia della formazione e delle latitanze in rapporto causale documentato con i mandati emessi a margine dell'indagine su Bologna, condizione necessaria per la lettura della fase internazionale successiva.</w:t>
      </w:r>
    </w:p>
    <w:p>
      <w:pPr>
        <w:spacing w:line="276" w:lineRule="auto" w:after="160" w:before="240"/>
        <w:jc w:val="left"/>
      </w:pPr>
      <w:r>
        <w:rPr>
          <w:rFonts w:ascii="Times New Roman" w:hAnsi="Times New Roman" w:cs="Times New Roman" w:eastAsia="Times New Roman"/>
          <w:b/>
          <w:i w:val="0"/>
          <w:sz w:val="26"/>
        </w:rPr>
        <w:t>Blocco XVI — La Wolfsangel e il cuib: l'innesto mistico romeno</w:t>
      </w:r>
    </w:p>
    <w:p>
      <w:pPr>
        <w:spacing w:line="276" w:lineRule="auto" w:after="120" w:before="0"/>
        <w:ind w:firstLine="425"/>
        <w:jc w:val="both"/>
      </w:pPr>
      <w:r>
        <w:rPr>
          <w:rFonts w:ascii="Times New Roman" w:hAnsi="Times New Roman" w:cs="Times New Roman" w:eastAsia="Times New Roman"/>
          <w:b w:val="0"/>
          <w:i w:val="0"/>
          <w:sz w:val="24"/>
        </w:rPr>
        <w:t xml:space="preserve">La scheda gia acquisita al corpus registra due elementi formali di Terza Posizione che meritano trattazione dedicata nella presente sezione: l'adozione della runa Wolfsangel come simbolo e l'adozione della struttura a cuib mutuata da Corneliu Zelea Codreanu. Il grado del dato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cuib, letteralmente nido, e l'unita organizzativa di base della Legione dell'Arcangelo Michele romena, e non e cellula militare ne sezione di partito. E comunita di vita a numero chiuso, retta da regole che disciplinano la condotta personale dei membri, il silenzio, il lavoro, la disciplina interna e la preghiera comune. La sua funzione dichiarata non e l'efficacia operativa ma la trasformazione spirituale dell'aderente. Adottare il cuib significa dunque adottare un modello in cui l'organizzazione politica e primariamente struttura ascetica.</w:t>
      </w:r>
    </w:p>
    <w:p>
      <w:pPr>
        <w:spacing w:line="276" w:lineRule="auto" w:after="120" w:before="0"/>
        <w:ind w:firstLine="425"/>
        <w:jc w:val="both"/>
      </w:pPr>
      <w:r>
        <w:rPr>
          <w:rFonts w:ascii="Times New Roman" w:hAnsi="Times New Roman" w:cs="Times New Roman" w:eastAsia="Times New Roman"/>
          <w:b w:val="0"/>
          <w:i w:val="0"/>
          <w:sz w:val="24"/>
        </w:rPr>
        <w:t>L'effetto sul profilo della formazione e duplice e va registrato. Sul piano interno, il modello produce coesione elevata e resistenza alla dissociazione, poiche l'appartenenza non e adesione a un programma ma condizione esistenziale. Sul piano esterno, produce una nozione di militante come uomo interamente disponibile, che rende la distinzione fra attivita politica e attivita operativa concettualmente priva di significato per l'aderente. La rilevanza analitica non e simbolica ma organizzativa, e non viola il divieto di inferenza simbolica perche non si inferisce nulla dal simbolo: si registra l'adozione dichiarata di un modello organizzativo determinato.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l'adozione del modello codreanista del cuib come struttura ascetica, con l'effetto documentabile di rendere concettualmente indistinguibili, per l'aderente, appartenenza politica e disponibilita operativa.</w:t>
      </w:r>
    </w:p>
    <w:p>
      <w:pPr>
        <w:spacing w:line="276" w:lineRule="auto" w:after="160" w:before="240"/>
        <w:jc w:val="left"/>
      </w:pPr>
      <w:r>
        <w:rPr>
          <w:rFonts w:ascii="Times New Roman" w:hAnsi="Times New Roman" w:cs="Times New Roman" w:eastAsia="Times New Roman"/>
          <w:b/>
          <w:i w:val="0"/>
          <w:sz w:val="26"/>
        </w:rPr>
        <w:t>Blocco XVII — La Legione dell'Arcangelo Michele come archetipo religioso-politico</w:t>
      </w:r>
    </w:p>
    <w:p>
      <w:pPr>
        <w:spacing w:line="276" w:lineRule="auto" w:after="120" w:before="0"/>
        <w:ind w:firstLine="425"/>
        <w:jc w:val="both"/>
      </w:pPr>
      <w:r>
        <w:rPr>
          <w:rFonts w:ascii="Times New Roman" w:hAnsi="Times New Roman" w:cs="Times New Roman" w:eastAsia="Times New Roman"/>
          <w:b w:val="0"/>
          <w:i w:val="0"/>
          <w:sz w:val="24"/>
        </w:rPr>
        <w:t>Il blocco tratta il modello di riferimento e non i suoi imitatori italiani, ai quali il registro non estende alcuna attribuzione per derivazione. La Legione dell'Arcangelo Michele, fondata nella Romania interbellica, costituisce l'esempio storicamente meglio documentato di formazione politica in cui la dimensione religiosa non e strumentale ma costitutiva: il rito, il digiuno, il culto dei caduti e la teologia del sacrificio non accompagnano l'azione politica, la definiscono.</w:t>
      </w:r>
    </w:p>
    <w:p>
      <w:pPr>
        <w:spacing w:line="276" w:lineRule="auto" w:after="120" w:before="0"/>
        <w:ind w:firstLine="425"/>
        <w:jc w:val="both"/>
      </w:pPr>
      <w:r>
        <w:rPr>
          <w:rFonts w:ascii="Times New Roman" w:hAnsi="Times New Roman" w:cs="Times New Roman" w:eastAsia="Times New Roman"/>
          <w:b w:val="0"/>
          <w:i w:val="0"/>
          <w:sz w:val="24"/>
        </w:rPr>
        <w:t>Il rendimento analitico consiste in una tesi di isomorfismo. Le strutture politiche a costituzione religiosa presentano una topologia riconoscibile che le distingue tanto dai partiti quanto dalle organizzazioni militari clandestine: nucleo iniziatico ristretto, appartenenza irreversibile, gerarchia carismatica non elettiva, disciplina che investe la vita privata, culto dei propri morti come meccanismo di riproduzione. Ove questa topologia ricorra, ci si attende bassa dissociazione e alta persistenza intergenerazionale delle strutture.</w:t>
      </w:r>
    </w:p>
    <w:p>
      <w:pPr>
        <w:spacing w:line="276" w:lineRule="auto" w:after="120" w:before="0"/>
        <w:ind w:firstLine="425"/>
        <w:jc w:val="both"/>
      </w:pPr>
      <w:r>
        <w:rPr>
          <w:rFonts w:ascii="Times New Roman" w:hAnsi="Times New Roman" w:cs="Times New Roman" w:eastAsia="Times New Roman"/>
          <w:b w:val="0"/>
          <w:i w:val="0"/>
          <w:sz w:val="24"/>
        </w:rPr>
        <w:t xml:space="preserve">La tesi e falsificabile e il falsificatore e designato: la dimostrazione che formazioni prive di costituzione religiosa presentino, a parita di pressione repressiva, tassi di dissociazione e di persistenza equivalenti. Allo stato il test non e stato condotto sul corpus, e il grado resta percio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con espressa qualificazione di ipotesi investigativa da sottoporre a verifica quantitativa.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 tesi di isomorfismo delle strutture politiche a costituzione religiosa, con cinque marcatori topologici enunciati, falsificatore designato e test quantitativo iscritto fra le lacune rimediabili.</w:t>
      </w:r>
    </w:p>
    <w:p>
      <w:pPr>
        <w:spacing w:line="276" w:lineRule="auto" w:after="160" w:before="240"/>
        <w:jc w:val="left"/>
      </w:pPr>
      <w:r>
        <w:rPr>
          <w:rFonts w:ascii="Times New Roman" w:hAnsi="Times New Roman" w:cs="Times New Roman" w:eastAsia="Times New Roman"/>
          <w:b/>
          <w:i w:val="0"/>
          <w:sz w:val="26"/>
        </w:rPr>
        <w:t>Blocco XVIII — Osmosi con i Nuclei Armati Rivoluzionari</w:t>
      </w:r>
    </w:p>
    <w:p>
      <w:pPr>
        <w:spacing w:line="276" w:lineRule="auto" w:after="120" w:before="0"/>
        <w:ind w:firstLine="425"/>
        <w:jc w:val="both"/>
      </w:pPr>
      <w:r>
        <w:rPr>
          <w:rFonts w:ascii="Times New Roman" w:hAnsi="Times New Roman" w:cs="Times New Roman" w:eastAsia="Times New Roman"/>
          <w:b w:val="0"/>
          <w:i w:val="0"/>
          <w:sz w:val="24"/>
        </w:rPr>
        <w:t xml:space="preserve">La scheda acquisita al corpus qualifica come osmotici i rapporti fra Terza Posizione e i Nuclei Armati Rivoluzionari, e la scelta lessicale va conservata perche descrive con precisione una relazione che non e ne coincidenza ne separazione.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L'osmosi indica passaggio di membranza senza fusione delle strutture: militanti che transitano, risorse che circolano, protezioni logistiche che si estendono, senza che le due entita si identifichino ne dispongano di un comando unificato. Il modello e analiticamente rilevante perche costituisce, nel grafo, una tipologia di arco distinta tanto dall'affiliazione quanto dalla semplice collusione, e corrisponde al quinto tipo della tassonomia metodologica, l'arco di transito, applicato non a un flusso materiale ma a persone.</w:t>
      </w:r>
    </w:p>
    <w:p>
      <w:pPr>
        <w:spacing w:line="276" w:lineRule="auto" w:after="120" w:before="0"/>
        <w:ind w:firstLine="425"/>
        <w:jc w:val="both"/>
      </w:pPr>
      <w:r>
        <w:rPr>
          <w:rFonts w:ascii="Times New Roman" w:hAnsi="Times New Roman" w:cs="Times New Roman" w:eastAsia="Times New Roman"/>
          <w:b w:val="0"/>
          <w:i w:val="0"/>
          <w:sz w:val="24"/>
        </w:rPr>
        <w:t>Il rendimento sul piano probatorio e duplice e va registrato in entrambe le direzioni. In positivo, l'osmosi spiega perche i provvedimenti giudiziari abbiano investito contestualmente militanti delle due aree. In negativo, e questa e la clausola vincolante, l'osmosi non consente di attribuire a un aderente della formazione politica le condotte accertate a carico di appartenenti alla formazione armata: la struttura dell'arco osmotico e per definizione non transitiva quanto alla responsabilita, e ogni attribuzione richiede accertamento individuale. Il registro non estende alcuna attribuzione per appartenenza, in conformita all'invariante che vieta di trarre dalla militanza organizzativa la prova della condotta.</w:t>
      </w:r>
    </w:p>
    <w:p>
      <w:pPr>
        <w:spacing w:line="276" w:lineRule="auto" w:after="240" w:before="0"/>
        <w:ind w:firstLine="425"/>
        <w:jc w:val="both"/>
      </w:pPr>
      <w:r>
        <w:rPr>
          <w:rFonts w:ascii="Times New Roman" w:hAnsi="Times New Roman" w:cs="Times New Roman" w:eastAsia="Times New Roman"/>
          <w:b w:val="0"/>
          <w:i/>
          <w:sz w:val="22"/>
        </w:rPr>
        <w:t>Sintesi del dato nuovo acquisito: si tipizza l'arco osmotico come arco di transito applicato a persone, con proprieta di non transitivita quanto all'attribuzione di responsabilita individuale.</w:t>
      </w:r>
    </w:p>
    <w:p>
      <w:pPr>
        <w:spacing w:line="276" w:lineRule="auto" w:after="160" w:before="240"/>
        <w:jc w:val="left"/>
      </w:pPr>
      <w:r>
        <w:rPr>
          <w:rFonts w:ascii="Times New Roman" w:hAnsi="Times New Roman" w:cs="Times New Roman" w:eastAsia="Times New Roman"/>
          <w:b/>
          <w:i w:val="0"/>
          <w:sz w:val="26"/>
        </w:rPr>
        <w:t>Blocco XIX — Lo scioglimento dopo Bologna e l'accertamento sui mandanti</w:t>
      </w:r>
    </w:p>
    <w:p>
      <w:pPr>
        <w:spacing w:line="276" w:lineRule="auto" w:after="120" w:before="0"/>
        <w:ind w:firstLine="425"/>
        <w:jc w:val="both"/>
      </w:pPr>
      <w:r>
        <w:rPr>
          <w:rFonts w:ascii="Times New Roman" w:hAnsi="Times New Roman" w:cs="Times New Roman" w:eastAsia="Times New Roman"/>
          <w:b w:val="0"/>
          <w:i w:val="0"/>
          <w:sz w:val="24"/>
        </w:rPr>
        <w:t xml:space="preserve">Terza Posizione si scioglie dopo la strage del due agosto millenovecentottanta, e la dispersione dei suoi quadri e conseguenza diretta dell'ondata di provvedimenti emessi a margine dell'indagine. Il dato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ricostruzione complessiva,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ai singoli provvedimenti.</w:t>
      </w:r>
    </w:p>
    <w:p>
      <w:pPr>
        <w:spacing w:line="276" w:lineRule="auto" w:after="120" w:before="0"/>
        <w:ind w:firstLine="425"/>
        <w:jc w:val="both"/>
      </w:pPr>
      <w:r>
        <w:rPr>
          <w:rFonts w:ascii="Times New Roman" w:hAnsi="Times New Roman" w:cs="Times New Roman" w:eastAsia="Times New Roman"/>
          <w:b w:val="0"/>
          <w:i w:val="0"/>
          <w:sz w:val="24"/>
        </w:rPr>
        <w:t xml:space="preserve">Va registrato con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in conformita alla scheda acquisita, l'accertamento della Corte d'assise di Bologna dell'aprile duemilaventidue, che ha indicato come mandanti e finanziatori, tutti deceduti, il capo della Loggia Propaganda Due Licio Gelli, Umberto Ortolani, il capo dell'Ufficio Affari Riservati Federico Umberto D'Amato e il senatore missino Mario Tedeschi; l'ergastolo a Gilberto Cavallini e definitivo dal gennaio duemilaventicinque, e le condanne definitive a carico di Valerio Fioravanti e Francesca Mambro sono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rilievo per la presente sezione e strutturale e va enunciato senza ambiguita. La sequenza accertata colloca al vertice della catena di mandato non una struttura ideologica ma una loggia coperta, un apparato di sicurezza e un settore della stampa politica. La dottrina tradizionalista, che occupa integralmente il campo discorsivo degli esecutori, non compare in alcun punto della catena decisionale accertata. Questa asimmetria fra saturazione discorsiva al livello esecutivo e assenza al livello del mandato costituisce, allo stato del corpus, la principale acquisizione negativa dell'intera sezione, e va enunciata come tale perche corregge la tentazione, ricorrente nella pubblicistica, di trattare la dottrina come causa.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come risultato negativo di primo rango l'asimmetria fra saturazione della dottrina tradizionalista al livello esecutivo e sua totale assenza nella catena di mandato accertata, con conseguente esclusione della dottrina dal novero delle cause.</w:t>
      </w:r>
    </w:p>
    <w:p>
      <w:pPr>
        <w:spacing w:line="276" w:lineRule="auto" w:after="160" w:before="240"/>
        <w:jc w:val="left"/>
      </w:pPr>
      <w:r>
        <w:rPr>
          <w:rFonts w:ascii="Times New Roman" w:hAnsi="Times New Roman" w:cs="Times New Roman" w:eastAsia="Times New Roman"/>
          <w:b/>
          <w:i w:val="0"/>
          <w:sz w:val="26"/>
        </w:rPr>
        <w:t>Blocco XX — La latitanza londinese e l'ipotesi della protezione britannica</w:t>
      </w:r>
    </w:p>
    <w:p>
      <w:pPr>
        <w:spacing w:line="276" w:lineRule="auto" w:after="120" w:before="0"/>
        <w:ind w:firstLine="425"/>
        <w:jc w:val="both"/>
      </w:pPr>
      <w:r>
        <w:rPr>
          <w:rFonts w:ascii="Times New Roman" w:hAnsi="Times New Roman" w:cs="Times New Roman" w:eastAsia="Times New Roman"/>
          <w:b w:val="0"/>
          <w:i w:val="0"/>
          <w:sz w:val="24"/>
        </w:rPr>
        <w:t>Il blocco tratta un'affermazione che circola nel corpus con grado disomogeneo e che va disarticolata nelle sue componenti, ciascuna con il proprio grado.</w:t>
      </w:r>
    </w:p>
    <w:p>
      <w:pPr>
        <w:spacing w:line="276" w:lineRule="auto" w:after="120" w:before="0"/>
        <w:ind w:firstLine="425"/>
        <w:jc w:val="both"/>
      </w:pPr>
      <w:r>
        <w:rPr>
          <w:rFonts w:ascii="Times New Roman" w:hAnsi="Times New Roman" w:cs="Times New Roman" w:eastAsia="Times New Roman"/>
          <w:b w:val="0"/>
          <w:i w:val="0"/>
          <w:sz w:val="24"/>
        </w:rPr>
        <w:t xml:space="preserve">Il fatto della latitanza londinese di Roberto Fiore e Massimo Morsello a partire dal millenovecentottanta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fatto dell'inserimento dei due nel milieu del National Front britannico e delle relazioni con Nick Griffin, Derek Holland e Patrick Harrington e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L'affermazione secondo cui Fiore sarebbe stato protetto durante la latitanza dal servizio informativo britannico in qualita di agente e riferita, nel corpus, a un articolo del periodico antifascista Searchlight e a un atto della Commissione europea d'inchiesta su razzismo e xenofobia del millenovecentonovantuno. Il grado dell'affermazione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La ragione della collocazione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va esplicitata perche il corpus contiene una formulazione piu assertiva che il registro non ratifica. Le due fonti non sono indipendenti nel senso richiesto: la seconda riprende la prima e non risulta fondata su accertamento autonomo, sicche l'Indice di Contaminazione le riduce a catena singola. Il grado non potra elevarsi in assenza di documentazione archivistica britannica o di accertamento giurisdizionale, e la relativa lacuna si iscrive fra quelle a rimediabilita bassa, poiche la sede archivistica dei servizi britannici non e accessibile e la condizione di apertura non e enunciabile.</w:t>
      </w:r>
    </w:p>
    <w:p>
      <w:pPr>
        <w:spacing w:line="276" w:lineRule="auto" w:after="120" w:before="0"/>
        <w:ind w:firstLine="425"/>
        <w:jc w:val="both"/>
      </w:pPr>
      <w:r>
        <w:rPr>
          <w:rFonts w:ascii="Times New Roman" w:hAnsi="Times New Roman" w:cs="Times New Roman" w:eastAsia="Times New Roman"/>
          <w:b w:val="0"/>
          <w:i w:val="0"/>
          <w:sz w:val="24"/>
        </w:rPr>
        <w:t xml:space="preserve">Va per contro registrato con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rilievo strutturale: la sostenibilita operativa di latitanze pluriennali in Stati alleati costituisce un pattern ricorrente nel corpus, gia documentato per altri esponenti dell'eversione, e il pattern e osservabile indipendentemente dalla verifica di ciascuna singola ipotesi di protezione.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declassa a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l'affermazione sulla protezione britannica per collasso della catena di fonti, conservando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pattern strutturale della sostenibilita delle latitanze in Stati alleati.</w:t>
      </w:r>
    </w:p>
    <w:p>
      <w:pPr>
        <w:spacing w:line="276" w:lineRule="auto" w:after="160" w:before="240"/>
        <w:jc w:val="left"/>
      </w:pPr>
      <w:r>
        <w:rPr>
          <w:rFonts w:ascii="Times New Roman" w:hAnsi="Times New Roman" w:cs="Times New Roman" w:eastAsia="Times New Roman"/>
          <w:b/>
          <w:i w:val="0"/>
          <w:sz w:val="26"/>
        </w:rPr>
        <w:t>Blocco XXI — International Third Position: la costruzione di una rete transnazionale</w:t>
      </w:r>
    </w:p>
    <w:p>
      <w:pPr>
        <w:spacing w:line="276" w:lineRule="auto" w:after="120" w:before="0"/>
        <w:ind w:firstLine="425"/>
        <w:jc w:val="both"/>
      </w:pPr>
      <w:r>
        <w:rPr>
          <w:rFonts w:ascii="Times New Roman" w:hAnsi="Times New Roman" w:cs="Times New Roman" w:eastAsia="Times New Roman"/>
          <w:b w:val="0"/>
          <w:i w:val="0"/>
          <w:sz w:val="24"/>
        </w:rPr>
        <w:t xml:space="preserve">Dalla latitanza londinese muove la costruzione di un'internazionale terzaposizionista che la scheda acquisita registra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quanto all'estensione complessiva, con ramificazioni indicate in Polonia con il Narodowe Odrodzenie Polski, in Germania con Der Dritte Weg, negli Stati Uniti e in Russia.</w:t>
      </w:r>
    </w:p>
    <w:p>
      <w:pPr>
        <w:spacing w:line="276" w:lineRule="auto" w:after="120" w:before="0"/>
        <w:ind w:firstLine="425"/>
        <w:jc w:val="both"/>
      </w:pPr>
      <w:r>
        <w:rPr>
          <w:rFonts w:ascii="Times New Roman" w:hAnsi="Times New Roman" w:cs="Times New Roman" w:eastAsia="Times New Roman"/>
          <w:b w:val="0"/>
          <w:i w:val="0"/>
          <w:sz w:val="24"/>
        </w:rPr>
        <w:t>La qualificazione della figura del soldato politico costituisce l'elemento dottrinale distintivo della rete e va analizzata nella presente sezione perche riproduce, in contesto anglofono e trent'anni dopo, la medesima struttura del militante come uomo integralmente disponibile che il modello codreanista aveva introdotto. La continuita non e affermata dalle fonti ma e osservabile nella struttura del ruolo, e va percio registrata come isomorfismo e non come filiazione.</w:t>
      </w:r>
    </w:p>
    <w:p>
      <w:pPr>
        <w:spacing w:line="276" w:lineRule="auto" w:after="120" w:before="0"/>
        <w:ind w:firstLine="425"/>
        <w:jc w:val="both"/>
      </w:pPr>
      <w:r>
        <w:rPr>
          <w:rFonts w:ascii="Times New Roman" w:hAnsi="Times New Roman" w:cs="Times New Roman" w:eastAsia="Times New Roman"/>
          <w:b w:val="0"/>
          <w:i w:val="0"/>
          <w:sz w:val="24"/>
        </w:rPr>
        <w:t xml:space="preserve">Il rendimento geopolitico della rete e superiore al suo peso militante, che resta modesto in tutti i Paesi indicati. Essa costituisce infatti un'infrastruttura di circolazione dottrinale fra aree politicamente non comunicanti, e in questa funzione, piu che nella capacita di mobilitazione, risiede la sua rilevanza per il grafo. Il registro segnala che il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attribuito all'estensione non riguarda l'esistenza delle singole formazioni citate, che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bensi la natura e l'intensita del vincolo che le collegherebbe alla struttura londinese.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separa il grado di esistenza delle formazioni nazionali, pari ad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dal grado del vincolo reticolare che le collegherebbe, pari a </w:t>
      </w:r>
      <w:r>
        <w:rPr>
          <w:rFonts w:ascii="Times New Roman" w:hAnsi="Times New Roman" w:cs="Times New Roman" w:eastAsia="Times New Roman"/>
          <w:b/>
          <w:i/>
          <w:sz w:val="22"/>
        </w:rPr>
        <w:t>C</w:t>
      </w:r>
      <w:r>
        <w:rPr>
          <w:rFonts w:ascii="Times New Roman" w:hAnsi="Times New Roman" w:cs="Times New Roman" w:eastAsia="Times New Roman"/>
          <w:b w:val="0"/>
          <w:i/>
          <w:sz w:val="22"/>
        </w:rPr>
        <w:t>, correggendo una confusione ricorrente nella letteratura sull'internazionale terzaposizionista.</w:t>
      </w:r>
    </w:p>
    <w:p>
      <w:pPr>
        <w:spacing w:line="276" w:lineRule="auto" w:after="160" w:before="240"/>
        <w:jc w:val="left"/>
      </w:pPr>
      <w:r>
        <w:rPr>
          <w:rFonts w:ascii="Times New Roman" w:hAnsi="Times New Roman" w:cs="Times New Roman" w:eastAsia="Times New Roman"/>
          <w:b/>
          <w:i w:val="0"/>
          <w:sz w:val="26"/>
        </w:rPr>
        <w:t>Blocco XXII — Gheddafi e Khomeini: la teologia terzomondista della destra radicale</w:t>
      </w:r>
    </w:p>
    <w:p>
      <w:pPr>
        <w:spacing w:line="276" w:lineRule="auto" w:after="120" w:before="0"/>
        <w:ind w:firstLine="425"/>
        <w:jc w:val="both"/>
      </w:pPr>
      <w:r>
        <w:rPr>
          <w:rFonts w:ascii="Times New Roman" w:hAnsi="Times New Roman" w:cs="Times New Roman" w:eastAsia="Times New Roman"/>
          <w:b w:val="0"/>
          <w:i w:val="0"/>
          <w:sz w:val="24"/>
        </w:rPr>
        <w:t xml:space="preserve">La scheda acquisita registra che l'area terzaposizionista guardava con favore a Muammar Gheddafi e a Ruhollah Khomeini. Il dato,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in quanto desumibile dalla pubblicistica interna dell'area, apre una questione analitica di rilievo superiore alla sua apparente marginalita.</w:t>
      </w:r>
    </w:p>
    <w:p>
      <w:pPr>
        <w:spacing w:line="276" w:lineRule="auto" w:after="120" w:before="0"/>
        <w:ind w:firstLine="425"/>
        <w:jc w:val="both"/>
      </w:pPr>
      <w:r>
        <w:rPr>
          <w:rFonts w:ascii="Times New Roman" w:hAnsi="Times New Roman" w:cs="Times New Roman" w:eastAsia="Times New Roman"/>
          <w:b w:val="0"/>
          <w:i w:val="0"/>
          <w:sz w:val="24"/>
        </w:rPr>
        <w:t>Un'area politica che si definisce attraverso il tradizionalismo europeo e la difesa dell'Occidente esprime favore verso due leadership islamiche apertamente ostili all'Occidente. La contraddizione e apparente e si scioglie sul piano dottrinale: nella gerarchia metafisica della Tradizione, come stabilita dalla scuola guenoniana, l'Islam occupa una posizione di preminenza in quanto tradizione ancora vivente, mentre l'Occidente moderno e definito dalla propria decadenza. Ne discende che l'anti-occidentalismo religioso e piu prossimo alla Tradizione dell'Occidente stesso, e che l'alleanza e coerente anziche opportunistica.</w:t>
      </w:r>
    </w:p>
    <w:p>
      <w:pPr>
        <w:spacing w:line="276" w:lineRule="auto" w:after="120" w:before="0"/>
        <w:ind w:firstLine="425"/>
        <w:jc w:val="both"/>
      </w:pPr>
      <w:r>
        <w:rPr>
          <w:rFonts w:ascii="Times New Roman" w:hAnsi="Times New Roman" w:cs="Times New Roman" w:eastAsia="Times New Roman"/>
          <w:b w:val="0"/>
          <w:i w:val="0"/>
          <w:sz w:val="24"/>
        </w:rPr>
        <w:t xml:space="preserve">La scheda gia acquisita al corpus documenta che la filiera guenoniana e centrale tanto in Claudio Mutti, con la conversione all'Islam e l'uso politico del tradizionalismo attraverso le edizioni del Veltro, quanto in Aleksandr Dugin, il cui eurasiatismo si appoggia sulla Scuola Tradizionalista e utilizza Guenon come ponte verso i contesti musulmani, poiche il tradizionalismo accorda all'Islam e in particolare al sufismo e all'esoterismo sciita un posto centrale nella gerarchia metafisica.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rendimento per l'architettura generale del registro e considerevole: qui si documenta un canale dottrinale, e non meramente opportunistico, che collega la destra radicale europea a poli anti-occidentali orientali, e che costituisce la matrice intellettuale della saldatura eurasiatista contemporanea.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con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la funzione della gerarchia tradizionalista come fondamento dottrinale, e non opportunistico, della convergenza fra destra radicale europea e poli anti-occidentali, con la filiera Guenon-Mutti-Dugin come vettore documentato.</w:t>
      </w:r>
    </w:p>
    <w:p>
      <w:pPr>
        <w:spacing w:line="276" w:lineRule="auto" w:after="160" w:before="240"/>
        <w:jc w:val="left"/>
      </w:pPr>
      <w:r>
        <w:rPr>
          <w:rFonts w:ascii="Times New Roman" w:hAnsi="Times New Roman" w:cs="Times New Roman" w:eastAsia="Times New Roman"/>
          <w:b/>
          <w:i w:val="0"/>
          <w:sz w:val="26"/>
        </w:rPr>
        <w:t>Blocco XXIII — Confutazione formale: la non connessione fra Aginter Press e Terza Posizione</w:t>
      </w:r>
    </w:p>
    <w:p>
      <w:pPr>
        <w:spacing w:line="276" w:lineRule="auto" w:after="120" w:before="0"/>
        <w:ind w:firstLine="425"/>
        <w:jc w:val="both"/>
      </w:pPr>
      <w:r>
        <w:rPr>
          <w:rFonts w:ascii="Times New Roman" w:hAnsi="Times New Roman" w:cs="Times New Roman" w:eastAsia="Times New Roman"/>
          <w:b w:val="0"/>
          <w:i w:val="0"/>
          <w:sz w:val="24"/>
        </w:rPr>
        <w:t>Il registro procede in questa sede a una confutazione formale, che va iscritta fra le confutazioni registrate del progetto perche elimina un nesso ricorrente nella pubblicistica e privo di fondamento cronologico.</w:t>
      </w:r>
    </w:p>
    <w:p>
      <w:pPr>
        <w:spacing w:line="276" w:lineRule="auto" w:after="120" w:before="0"/>
        <w:ind w:firstLine="425"/>
        <w:jc w:val="both"/>
      </w:pPr>
      <w:r>
        <w:rPr>
          <w:rFonts w:ascii="Times New Roman" w:hAnsi="Times New Roman" w:cs="Times New Roman" w:eastAsia="Times New Roman"/>
          <w:b w:val="0"/>
          <w:i w:val="0"/>
          <w:sz w:val="24"/>
        </w:rPr>
        <w:t>L'affermazione confutata e che Terza Posizione discenda organicamente da Aginter Press attraverso il milieu della latitanza madrilena. La confutazione e cronologica e non richiede argomento ulteriore: il gruppo di Madrid si disperse nel millenovecentosettantasette, e Terza Posizione nasce nel millenovecentosettantotto, un anno dopo. La scheda acquisita al corpus registra espressamente la non connessione organica.</w:t>
      </w:r>
    </w:p>
    <w:p>
      <w:pPr>
        <w:spacing w:line="276" w:lineRule="auto" w:after="120" w:before="0"/>
        <w:ind w:firstLine="425"/>
        <w:jc w:val="both"/>
      </w:pPr>
      <w:r>
        <w:rPr>
          <w:rFonts w:ascii="Times New Roman" w:hAnsi="Times New Roman" w:cs="Times New Roman" w:eastAsia="Times New Roman"/>
          <w:b w:val="0"/>
          <w:i w:val="0"/>
          <w:sz w:val="24"/>
        </w:rPr>
        <w:t>Il valore metodologico della confutazione eccede il caso specifico. Essa esemplifica il meccanismo con cui si producono nessi spuri nel campo: due strutture condividono il campo ideologico, una parte del lessico e alcune relazioni personali indirette, e la contiguita viene convertita in derivazione. La Regola di Ferro vieta questa conversione, e l'invariante secondo cui la contemporaneita cronologica non fonda inferenza opera qui nella sua forma piu netta, poiche nel caso in esame manca persino la contemporaneita.</w:t>
      </w:r>
    </w:p>
    <w:p>
      <w:pPr>
        <w:spacing w:line="276" w:lineRule="auto" w:after="120" w:before="0"/>
        <w:ind w:firstLine="425"/>
        <w:jc w:val="both"/>
      </w:pPr>
      <w:r>
        <w:rPr>
          <w:rFonts w:ascii="Times New Roman" w:hAnsi="Times New Roman" w:cs="Times New Roman" w:eastAsia="Times New Roman"/>
          <w:b w:val="0"/>
          <w:i w:val="0"/>
          <w:sz w:val="24"/>
        </w:rPr>
        <w:t>Va contestualmente registrato che la confutazione non estingue ogni rapporto fra le due aree: essa nega la derivazione organica, non nega l'appartenenza a un medesimo ambiente internazionale. La distinzione fra derivazione e coappartenenza va conservata in tutte le sezioni del registro.</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formalmente la confutazione della derivazione organica di Terza Posizione da Aginter Press per incompatibilita cronologica, conservando la distinzione fra derivazione e coappartenenza ambientale.</w:t>
      </w:r>
    </w:p>
    <w:p>
      <w:pPr>
        <w:spacing w:line="276" w:lineRule="auto" w:after="160" w:before="240"/>
        <w:jc w:val="left"/>
      </w:pPr>
      <w:r>
        <w:rPr>
          <w:rFonts w:ascii="Times New Roman" w:hAnsi="Times New Roman" w:cs="Times New Roman" w:eastAsia="Times New Roman"/>
          <w:b/>
          <w:i w:val="0"/>
          <w:sz w:val="26"/>
        </w:rPr>
        <w:t>Blocco XXIV — Enzo Maria Dantini e Lotta di Popolo: il ponte congetturale</w:t>
      </w:r>
    </w:p>
    <w:p>
      <w:pPr>
        <w:spacing w:line="276" w:lineRule="auto" w:after="120" w:before="0"/>
        <w:ind w:firstLine="425"/>
        <w:jc w:val="both"/>
      </w:pPr>
      <w:r>
        <w:rPr>
          <w:rFonts w:ascii="Times New Roman" w:hAnsi="Times New Roman" w:cs="Times New Roman" w:eastAsia="Times New Roman"/>
          <w:b w:val="0"/>
          <w:i w:val="0"/>
          <w:sz w:val="24"/>
        </w:rPr>
        <w:t xml:space="preserve">La scheda acquisita registra Enzo Maria Dantini, leader del cosiddetto nazimaoismo e fondatore di Lotta di Popolo, come figura indicata da alcune fonti quale possibile membro di Aginter Press e supervisore di un corso sugli esplosivi tenuto a Roma nel millenovecentosessantasette, e lo qualifica espressamente come ponte solo congetturale fra Aginter e la generazione di Terza Posizione. Il grado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blocco e conservato nel registro non malgrado ma in ragione del suo grado. Un ponte congetturale correttamente etichettato e un'informazione di valore, perche indica dove la ricerca deve andare; un ponte congetturale trattato come documentato e una contaminazione che si propaga a tutti i nodi a valle. La differenza fra le due condizioni sta interamente nell'etichetta, ed e per questa ragione che il sistema di gradazione non e apparato burocratico ma condizione di sopravvivenza dell'analisi.</w:t>
      </w:r>
    </w:p>
    <w:p>
      <w:pPr>
        <w:spacing w:line="276" w:lineRule="auto" w:after="120" w:before="0"/>
        <w:ind w:firstLine="425"/>
        <w:jc w:val="both"/>
      </w:pPr>
      <w:r>
        <w:rPr>
          <w:rFonts w:ascii="Times New Roman" w:hAnsi="Times New Roman" w:cs="Times New Roman" w:eastAsia="Times New Roman"/>
          <w:b w:val="0"/>
          <w:i w:val="0"/>
          <w:sz w:val="24"/>
        </w:rPr>
        <w:t xml:space="preserve">Il nazimaoismo merita nota autonoma. Esso costituisce, sul piano dottrinale, il tentativo di saldare il rivoluzionarismo di destra con il modello maoista di guerra popolare prolungata, ed e uno dei casi in cui l'invariante della convergenza degli opposti si manifesta non come alleanza tattica fra strutture avverse ma come sintesi dottrinale esplicitamente rivendicata dagli attori. Il fenomeno e documentato quanto all'esistenza delle formulazioni,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e non documentato quanto a effetti operativi, che restano allo stato non accertati.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conserva il nodo Dantini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con qualificazione espressa di ponte congetturale, e si registra il nazimaoismo come caso di convergenza degli opposti realizzata sul piano dottrinale e rivendicata dagli attori.</w:t>
      </w:r>
    </w:p>
    <w:p>
      <w:pPr>
        <w:spacing w:line="276" w:lineRule="auto" w:after="160" w:before="240"/>
        <w:jc w:val="left"/>
      </w:pPr>
      <w:r>
        <w:rPr>
          <w:rFonts w:ascii="Times New Roman" w:hAnsi="Times New Roman" w:cs="Times New Roman" w:eastAsia="Times New Roman"/>
          <w:b/>
          <w:i w:val="0"/>
          <w:sz w:val="26"/>
        </w:rPr>
        <w:t>Blocco XXV — Yves Guerin-Serac e la teologia della roccaforte</w:t>
      </w:r>
    </w:p>
    <w:p>
      <w:pPr>
        <w:spacing w:line="276" w:lineRule="auto" w:after="120" w:before="0"/>
        <w:ind w:firstLine="425"/>
        <w:jc w:val="both"/>
      </w:pPr>
      <w:r>
        <w:rPr>
          <w:rFonts w:ascii="Times New Roman" w:hAnsi="Times New Roman" w:cs="Times New Roman" w:eastAsia="Times New Roman"/>
          <w:b w:val="0"/>
          <w:i w:val="0"/>
          <w:sz w:val="24"/>
        </w:rPr>
        <w:t xml:space="preserve">Yves Guerin-Serac, nato nel millenovecentoventisei, ex ufficiale dei paracadutisti francesi proveniente dall'Organisation Armee Secrete, fonda e dirige Aginter Press a Lisbona dal millenovecentosessantasei sotto il regime salazarista, e la struttura opera in relazione con la polizia politica portoghese, con apparati spagnoli, italiani e statunitensi. Il grado dei dati biografici e strutturali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Cio che la presente sezione aggiunge al profilo gia acquisito e la ricostruzione della sua autocomprensione religiosa. Guerin-Serac articola la propria funzione in termini di difesa della roccaforte dell'Occidente cristiano, e il corpus qualifica al grado di alta probabilita l'affermazione secondo cui il Portogallo costituiva, per lui, il luogo in cui tale teologia trovava incarnazione statale. Nel sistema di gradazione del registro questa proposizione si colloca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Va registrata con precisione la delimitazione che il corpus impone e che il registro ratifica: la dimensione religiosa di Aginter era quella personale e organizzativa del suo fondatore, non un'espressione ufficiale della gerarchia ecclesiastica portoghese. La distinzione fra teologia dell'operatore e posizione dell'istituzione confessionale e vincolante in tutta la sezione, e la sua violazione produce l'errore, frequente nella pubblicistica, di attribuire a una Chiesa le convinzioni dei soggetti che ne invocano il nome.</w:t>
      </w:r>
    </w:p>
    <w:p>
      <w:pPr>
        <w:spacing w:line="276" w:lineRule="auto" w:after="120" w:before="0"/>
        <w:ind w:firstLine="425"/>
        <w:jc w:val="both"/>
      </w:pPr>
      <w:r>
        <w:rPr>
          <w:rFonts w:ascii="Times New Roman" w:hAnsi="Times New Roman" w:cs="Times New Roman" w:eastAsia="Times New Roman"/>
          <w:b w:val="0"/>
          <w:i w:val="0"/>
          <w:sz w:val="24"/>
        </w:rPr>
        <w:t>Il corpus registra inoltre le voci cattoliche dissenzienti, fra cui il vescovo di Beira Sebastiao Soares de Resende e i cattolici progressisti che criticarono la guerra coloniale, a dimostrazione che il cattolicesimo portoghese non costitui un blocco monolitico. Il dato e conservato per obbligo di contrasto interno, in applicazione della regola del Pollo di Popper.</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distinzione vincolante fra teologia dell'operatore e posizione dell'istituzione confessionale, e si conserva la documentazione del dissenso cattolico portoghese come contrasto interno obbligatorio.</w:t>
      </w:r>
    </w:p>
    <w:p>
      <w:pPr>
        <w:spacing w:line="276" w:lineRule="auto" w:after="160" w:before="240"/>
        <w:jc w:val="left"/>
      </w:pPr>
      <w:r>
        <w:rPr>
          <w:rFonts w:ascii="Times New Roman" w:hAnsi="Times New Roman" w:cs="Times New Roman" w:eastAsia="Times New Roman"/>
          <w:b/>
          <w:i w:val="0"/>
          <w:sz w:val="26"/>
        </w:rPr>
        <w:t>Blocco XXVI — Fatima e la costruzione dell'anticomunismo mariano</w:t>
      </w:r>
    </w:p>
    <w:p>
      <w:pPr>
        <w:spacing w:line="276" w:lineRule="auto" w:after="120" w:before="0"/>
        <w:ind w:firstLine="425"/>
        <w:jc w:val="both"/>
      </w:pPr>
      <w:r>
        <w:rPr>
          <w:rFonts w:ascii="Times New Roman" w:hAnsi="Times New Roman" w:cs="Times New Roman" w:eastAsia="Times New Roman"/>
          <w:b w:val="0"/>
          <w:i w:val="0"/>
          <w:sz w:val="24"/>
        </w:rPr>
        <w:t xml:space="preserve">Le apparizioni mariane di Fatima del millenovecentodiciassette, riconosciute dalla Chiesa nel millenovecentotrenta sotto Pio Undicesimo, furono progressivamente incorporate in una vasta cultura cattolica anticomunista transnazionale, e il corpus registra la sintesi secondo cui Fatima divenne una specie di altare civico dove religione, conservatorismo e anticomunismo finivano per rafforzarsi a vicenda. Il nesso e qualificato dal corpus come corroborato accademicamente e si colloca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corpus registra altresi l'avvertenza degli studiosi prudenti, che invitano a distinguere l'origine del messaggio dal suo uso politico. Il registro ratifica integralmente questa avvertenza e la eleva a regola della sezione, perche essa costituisce l'applicazione al campo religioso della doppia oggettualita probatoria fissata al blocco secondo: l'evento devozionale e il suo impiego politico sono oggetti distinti, con gradi distinti, e nessuna proposizione sul secondo autorizza proposizioni sul primo.</w:t>
      </w:r>
    </w:p>
    <w:p>
      <w:pPr>
        <w:spacing w:line="276" w:lineRule="auto" w:after="120" w:before="0"/>
        <w:ind w:firstLine="425"/>
        <w:jc w:val="both"/>
      </w:pPr>
      <w:r>
        <w:rPr>
          <w:rFonts w:ascii="Times New Roman" w:hAnsi="Times New Roman" w:cs="Times New Roman" w:eastAsia="Times New Roman"/>
          <w:b w:val="0"/>
          <w:i w:val="0"/>
          <w:sz w:val="24"/>
        </w:rPr>
        <w:t>La coincidenza cronologica fra le apparizioni e la rivoluzione bolscevica, notata dal corpus, va trattata con la disciplina generale sulle coincidenze: essa e un fatto di calendario ed e priva di forza inferenziale propria. Cio che ha rilievo documentabile non e la coincidenza ma l'uso successivo che ne fu fatto, il quale e attestato e databile.</w:t>
      </w:r>
    </w:p>
    <w:p>
      <w:pPr>
        <w:spacing w:line="276" w:lineRule="auto" w:after="120" w:before="0"/>
        <w:ind w:firstLine="425"/>
        <w:jc w:val="both"/>
      </w:pPr>
      <w:r>
        <w:rPr>
          <w:rFonts w:ascii="Times New Roman" w:hAnsi="Times New Roman" w:cs="Times New Roman" w:eastAsia="Times New Roman"/>
          <w:b w:val="0"/>
          <w:i w:val="0"/>
          <w:sz w:val="24"/>
        </w:rPr>
        <w:t>Il rendimento analitico consiste nell'individuazione di un vettore di legittimazione. La militanza anticomunista dispose, attraverso il culto mariano, di una fonte di legittimazione popolare, transnazionale, indipendente dagli Stati e non riducibile alla logica dei blocchi, e cio spiega la persistenza di quel repertorio simbolico ben oltre la fine della guerra fredda.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con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funzione del culto mariano come vettore di legittimazione anticomunista transnazionale indipendente dagli Stati, e si eleva a regola di sezione la distinzione fra origine del messaggio devozionale e suo uso politico.</w:t>
      </w:r>
    </w:p>
    <w:p>
      <w:pPr>
        <w:spacing w:line="276" w:lineRule="auto" w:after="160" w:before="240"/>
        <w:jc w:val="left"/>
      </w:pPr>
      <w:r>
        <w:rPr>
          <w:rFonts w:ascii="Times New Roman" w:hAnsi="Times New Roman" w:cs="Times New Roman" w:eastAsia="Times New Roman"/>
          <w:b/>
          <w:i w:val="0"/>
          <w:sz w:val="26"/>
        </w:rPr>
        <w:t>Blocco XXVII — La frizione fra cattolicesimo integralista ed evolianesimo pagano</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come reale e analiticamente rilevante la tensione ideologica fra il cattolicesimo integrale di Guerin-Serac e il tradizionalismo evoliano, pagano e anticristiano, dominante in Ordine Nuovo e in parte di Avanguardia Nazionale, e osserva che essa va analizzata perche spiega come funzionasse un'alleanza operativa malgrado una frattura religiosa di fondo.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La frattura non e sfumatura teologica. Da un lato si colloca una posizione per la quale la civilta cristiana e il bene da difendere e la Chiesa ne e l'istituzione depositaria; dall'altro una posizione per la quale il cristianesimo e la causa prima della decadenza da combattere e la tradizione romana precristiana e il termine di riferimento. Fra queste due posizioni non esiste mediazione dottrinale possibile.</w:t>
      </w:r>
    </w:p>
    <w:p>
      <w:pPr>
        <w:spacing w:line="276" w:lineRule="auto" w:after="120" w:before="0"/>
        <w:ind w:firstLine="425"/>
        <w:jc w:val="both"/>
      </w:pPr>
      <w:r>
        <w:rPr>
          <w:rFonts w:ascii="Times New Roman" w:hAnsi="Times New Roman" w:cs="Times New Roman" w:eastAsia="Times New Roman"/>
          <w:b w:val="0"/>
          <w:i w:val="0"/>
          <w:sz w:val="24"/>
        </w:rPr>
        <w:t>Eppure la cooperazione operativa e documentata. La constatazione impone di respingere due letture errate simmetriche: quella che deduce dalla cooperazione un'affinita dottrinale inesistente, e quella che deduce dall'incompatibilita dottrinale l'impossibilita della cooperazione. Entrambe presuppongono che la dottrina determini la condotta, presupposto che il caso in esame falsifica.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con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la coesistenza di cooperazione operativa documentata e incompatibilita dottrinale radicale, con conseguente falsificazione del presupposto secondo cui la prossimita dottrinale sia condizione necessaria della cooperazione operativa.</w:t>
      </w:r>
    </w:p>
    <w:p>
      <w:pPr>
        <w:spacing w:line="276" w:lineRule="auto" w:after="160" w:before="240"/>
        <w:jc w:val="left"/>
      </w:pPr>
      <w:r>
        <w:rPr>
          <w:rFonts w:ascii="Times New Roman" w:hAnsi="Times New Roman" w:cs="Times New Roman" w:eastAsia="Times New Roman"/>
          <w:b/>
          <w:i w:val="0"/>
          <w:sz w:val="26"/>
        </w:rPr>
        <w:t>Blocco XXVIII — Il meccanismo dell'alleanza a dispetto della frattura</w:t>
      </w:r>
    </w:p>
    <w:p>
      <w:pPr>
        <w:spacing w:line="276" w:lineRule="auto" w:after="120" w:before="0"/>
        <w:ind w:firstLine="425"/>
        <w:jc w:val="both"/>
      </w:pPr>
      <w:r>
        <w:rPr>
          <w:rFonts w:ascii="Times New Roman" w:hAnsi="Times New Roman" w:cs="Times New Roman" w:eastAsia="Times New Roman"/>
          <w:b w:val="0"/>
          <w:i w:val="0"/>
          <w:sz w:val="24"/>
        </w:rPr>
        <w:t>Il blocco precedente ha stabilito il fatto; questo ne propone il meccanismo, con il grado che compete a una ricostruzione teorica e non a un accertamento.</w:t>
      </w:r>
    </w:p>
    <w:p>
      <w:pPr>
        <w:spacing w:line="276" w:lineRule="auto" w:after="120" w:before="0"/>
        <w:ind w:firstLine="425"/>
        <w:jc w:val="both"/>
      </w:pPr>
      <w:r>
        <w:rPr>
          <w:rFonts w:ascii="Times New Roman" w:hAnsi="Times New Roman" w:cs="Times New Roman" w:eastAsia="Times New Roman"/>
          <w:b w:val="0"/>
          <w:i w:val="0"/>
          <w:sz w:val="24"/>
        </w:rPr>
        <w:t>La spiegazione si ricava dalla teoria dell'accoppiamento strutturale gia adottata dalla Nota Metodologica. I sistemi sociali sono operativamente chiusi e cognitivamente aperti: ciascuno opera secondo il proprio codice e osserva gli altri secondo il codice degli altri. L'attore cattolico integralista opera nel codice fedelta e apostasia e osserva il militante evoliano come risorsa disponibile contro un nemico comune; l'attore evoliano opera nel codice ordine e caos e osserva l'apparato cattolico come struttura statale che offre copertura. Nessuno dei due deve convertirsi, perche nessuno dei due sta operando nel codice dell'altro.</w:t>
      </w:r>
    </w:p>
    <w:p>
      <w:pPr>
        <w:spacing w:line="276" w:lineRule="auto" w:after="120" w:before="0"/>
        <w:ind w:firstLine="425"/>
        <w:jc w:val="both"/>
      </w:pPr>
      <w:r>
        <w:rPr>
          <w:rFonts w:ascii="Times New Roman" w:hAnsi="Times New Roman" w:cs="Times New Roman" w:eastAsia="Times New Roman"/>
          <w:b w:val="0"/>
          <w:i w:val="0"/>
          <w:sz w:val="24"/>
        </w:rPr>
        <w:t>Cio che rende possibile l'accoppiamento non e un contenuto condiviso ma una forma condivisa: entrambe le posizioni sono dottrine della gerarchia, dell'iniziazione a un sapere non pubblico e della fedelta a un ordine superiore all'ordinamento positivo. La compatibilita e formale e non sostanziale, ed e precisamente questo che la rende robusta, poiche una compatibilita sostanziale sarebbe esposta alle controversie dottrinali mentre una compatibilita formale non lo e.</w:t>
      </w:r>
    </w:p>
    <w:p>
      <w:pPr>
        <w:spacing w:line="276" w:lineRule="auto" w:after="120" w:before="0"/>
        <w:ind w:firstLine="425"/>
        <w:jc w:val="both"/>
      </w:pPr>
      <w:r>
        <w:rPr>
          <w:rFonts w:ascii="Times New Roman" w:hAnsi="Times New Roman" w:cs="Times New Roman" w:eastAsia="Times New Roman"/>
          <w:b w:val="0"/>
          <w:i w:val="0"/>
          <w:sz w:val="24"/>
        </w:rPr>
        <w:t xml:space="preserve">La proposizione e falsificabile e il falsificatore e designato: la dimostrazione che, in un campione di alleanze operative fra strutture ideologicamente incompatibili, la durata dell'alleanza risulti indipendente dalla presenza dei tre marcatori formali indicati. Il grado, in assenza del test,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il meccanismo dell'accoppiamento per compatibilita formale, con tre marcatori enunciati e falsificatore designato, quale spiegazione candidata della cooperazione fra strutture dottrinalmente incompatibili.</w:t>
      </w:r>
    </w:p>
    <w:p>
      <w:pPr>
        <w:spacing w:line="276" w:lineRule="auto" w:after="160" w:before="240"/>
        <w:jc w:val="left"/>
      </w:pPr>
      <w:r>
        <w:rPr>
          <w:rFonts w:ascii="Times New Roman" w:hAnsi="Times New Roman" w:cs="Times New Roman" w:eastAsia="Times New Roman"/>
          <w:b/>
          <w:i w:val="0"/>
          <w:sz w:val="26"/>
        </w:rPr>
        <w:t>Blocco XXIX — Il viaggio in Grecia del millenovecentosessantotto e la lettera Plevris</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due nodi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che documentano la dimensione internazionale della rete e che la presente sezione richiama per il loro valore probatorio superiore alla media del campo.</w:t>
      </w:r>
    </w:p>
    <w:p>
      <w:pPr>
        <w:spacing w:line="276" w:lineRule="auto" w:after="120" w:before="0"/>
        <w:ind w:firstLine="425"/>
        <w:jc w:val="both"/>
      </w:pPr>
      <w:r>
        <w:rPr>
          <w:rFonts w:ascii="Times New Roman" w:hAnsi="Times New Roman" w:cs="Times New Roman" w:eastAsia="Times New Roman"/>
          <w:b w:val="0"/>
          <w:i w:val="0"/>
          <w:sz w:val="24"/>
        </w:rPr>
        <w:t>Il sedici aprile millenovecentosessantotto una comitiva di quarantanove neofascisti italiani, comprendente fra gli altri Pino Rauti, Stefano Delle Chiaie, Mario Merlino e l'agente del servizio informativo Serpieri, si reco in Grecia per iniziativa di una emanazione dei servizi greci, si addestro presso Corfu e prese contatto con il gruppo Quattro Agosto di Kostas Plevris. Il dato collega direttamente area extraparlamentare italiana, apparato informativo italiano e apparato informativo di uno Stato alleato retto da un regime militare.</w:t>
      </w:r>
    </w:p>
    <w:p>
      <w:pPr>
        <w:spacing w:line="276" w:lineRule="auto" w:after="120" w:before="0"/>
        <w:ind w:firstLine="425"/>
        <w:jc w:val="both"/>
      </w:pPr>
      <w:r>
        <w:rPr>
          <w:rFonts w:ascii="Times New Roman" w:hAnsi="Times New Roman" w:cs="Times New Roman" w:eastAsia="Times New Roman"/>
          <w:b w:val="0"/>
          <w:i w:val="0"/>
          <w:sz w:val="24"/>
        </w:rPr>
        <w:t xml:space="preserve">Il secondo nodo e qualificato dal corpus come la voce meglio fondata del relativo elenco, e da fonte primaria: la lettera di Guerin-Serac del tre dicembre millenovecentosettantatre, agli atti dell'istruttoria bresciana, prova che egli conosceva l'indirizzo riservato del neonazista greco Kostas Plevris e menziona la tessera dell'associazione. Trattandosi di documento acquisito ad atti giudiziari, il registro eleva il dato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all'esistenza e al contenuto della lettera, conservando il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alle inferenze sulla natura del rapporto.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eleva al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il dato documentale della lettera del dicembre millenovecentosettantatre in quanto fonte primaria agli atti giudiziari, distinguendolo dal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delle inferenze sulla natura del rapporto che essa attesta.</w:t>
      </w:r>
    </w:p>
    <w:p>
      <w:pPr>
        <w:spacing w:line="276" w:lineRule="auto" w:after="160" w:before="240"/>
        <w:jc w:val="left"/>
      </w:pPr>
      <w:r>
        <w:rPr>
          <w:rFonts w:ascii="Times New Roman" w:hAnsi="Times New Roman" w:cs="Times New Roman" w:eastAsia="Times New Roman"/>
          <w:b/>
          <w:i w:val="0"/>
          <w:sz w:val="26"/>
        </w:rPr>
        <w:t>Blocco XXX — Il Portogallo salazarista come Stato a fondamento teologico</w:t>
      </w:r>
    </w:p>
    <w:p>
      <w:pPr>
        <w:spacing w:line="276" w:lineRule="auto" w:after="120" w:before="0"/>
        <w:ind w:firstLine="425"/>
        <w:jc w:val="both"/>
      </w:pPr>
      <w:r>
        <w:rPr>
          <w:rFonts w:ascii="Times New Roman" w:hAnsi="Times New Roman" w:cs="Times New Roman" w:eastAsia="Times New Roman"/>
          <w:b w:val="0"/>
          <w:i w:val="0"/>
          <w:sz w:val="24"/>
        </w:rPr>
        <w:t>Il blocco chiude la sezione iberica registrando una qualificazione strutturale. Lo Stato Novo portoghese costituisce, nel periodo considerato, il caso europeo in cui la legittimazione confessionale dell'ordine politico e piu esplicita, e cio ne fa non semplicemente un rifugio ospitale per strutture controrivoluzionarie transnazionali, ma un ambiente in cui tali strutture potevano operare senza dissimulare la propria autocomprensione religiosa.</w:t>
      </w:r>
    </w:p>
    <w:p>
      <w:pPr>
        <w:spacing w:line="276" w:lineRule="auto" w:after="120" w:before="0"/>
        <w:ind w:firstLine="425"/>
        <w:jc w:val="both"/>
      </w:pPr>
      <w:r>
        <w:rPr>
          <w:rFonts w:ascii="Times New Roman" w:hAnsi="Times New Roman" w:cs="Times New Roman" w:eastAsia="Times New Roman"/>
          <w:b w:val="0"/>
          <w:i w:val="0"/>
          <w:sz w:val="24"/>
        </w:rPr>
        <w:t>La differenza rispetto ad altri santuari e analiticamente significativa. In un santuario ordinario la struttura ospitata gode di impunita ma deve tacere le proprie finalita; in un santuario a fondamento teologico congruente, la struttura ospitata puo enunciarle, e l'enunciazione stessa diventa credenziale di accesso. Ne discende un'attesa verificabile sul corpus: la produzione documentale di una struttura ospitata in ambiente congruente dovrebbe risultare piu esplicita quanto alle finalita ultime rispetto a quella di strutture analoghe ospitate altrove.</w:t>
      </w:r>
    </w:p>
    <w:p>
      <w:pPr>
        <w:spacing w:line="276" w:lineRule="auto" w:after="120" w:before="0"/>
        <w:ind w:firstLine="425"/>
        <w:jc w:val="both"/>
      </w:pPr>
      <w:r>
        <w:rPr>
          <w:rFonts w:ascii="Times New Roman" w:hAnsi="Times New Roman" w:cs="Times New Roman" w:eastAsia="Times New Roman"/>
          <w:b w:val="0"/>
          <w:i w:val="0"/>
          <w:sz w:val="24"/>
        </w:rPr>
        <w:t xml:space="preserve">La verifica su Aginter, la cui produzione dottrinale e effettivamente esplicita, e coerente con l'attesa, ma il campione e di un solo caso e il grado resta percio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La lacuna e rimediabile mediante comparazione con la produzione di strutture analoghe ospitate in Spagna franchista e in Sudamerica, e si iscrive come tale nella Tavola Unica.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 distinzione fra santuario ordinario e santuario a fondamento teologico congruente, con l'attesa verificabile di una maggiore esplicitezza documentale delle strutture ospitate nel secondo tipo, e si iscrive il test comparativo fra le lacune rimediabili.</w:t>
      </w:r>
    </w:p>
    <w:p>
      <w:pPr>
        <w:spacing w:line="276" w:lineRule="auto" w:after="160" w:before="240"/>
        <w:jc w:val="left"/>
      </w:pPr>
      <w:r>
        <w:rPr>
          <w:rFonts w:ascii="Times New Roman" w:hAnsi="Times New Roman" w:cs="Times New Roman" w:eastAsia="Times New Roman"/>
          <w:b/>
          <w:i w:val="0"/>
          <w:sz w:val="26"/>
        </w:rPr>
        <w:t>Blocco XXXI — Paolo Sesto e il canale Curioni: la mediazione documentata</w:t>
      </w:r>
    </w:p>
    <w:p>
      <w:pPr>
        <w:spacing w:line="276" w:lineRule="auto" w:after="120" w:before="0"/>
        <w:ind w:firstLine="425"/>
        <w:jc w:val="both"/>
      </w:pPr>
      <w:r>
        <w:rPr>
          <w:rFonts w:ascii="Times New Roman" w:hAnsi="Times New Roman" w:cs="Times New Roman" w:eastAsia="Times New Roman"/>
          <w:b w:val="0"/>
          <w:i w:val="0"/>
          <w:sz w:val="24"/>
        </w:rPr>
        <w:t xml:space="preserve">La Commissione parlamentare d'inchiesta sul rapimento e sulla morte di Aldo Moro ha audito il quattro febbraio duemilasedici monsignor Fabio Fabbri, segretario e collaboratore di monsignor Cesare Curioni, ispettore generale dei cappellani carcerari al tempo del sequestro e incaricato da Paolo Sesto di cercare contatti e avviare una trattativa per il rilascio dell'ostaggio tramite il pagamento di un riscatto. Il grado dell'esistenza e del contenuto dell'audizione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Fabbri ha dichiarato che gia il sedici marzo millenovecentosettantotto, cioe il giorno stesso dell'agguato di via Fani, monsignor Pasquale Macchi, segretario particolare del Pontefice, si rivolse a Curioni chiedendogli a nome del Papa di cercare contatti per avviare una trattativa. La tempestivita e dato di primo rilievo: l'iniziativa della Santa Sede e contestuale all'evento e precede ogni articolazione della posizione dei partiti.</w:t>
      </w:r>
    </w:p>
    <w:p>
      <w:pPr>
        <w:spacing w:line="276" w:lineRule="auto" w:after="120" w:before="0"/>
        <w:ind w:firstLine="425"/>
        <w:jc w:val="both"/>
      </w:pPr>
      <w:r>
        <w:rPr>
          <w:rFonts w:ascii="Times New Roman" w:hAnsi="Times New Roman" w:cs="Times New Roman" w:eastAsia="Times New Roman"/>
          <w:b w:val="0"/>
          <w:i w:val="0"/>
          <w:sz w:val="24"/>
        </w:rPr>
        <w:t xml:space="preserve">Sui contatti, Fabbri ha dichiarato di non aver conosciuto ne incontrato l'intermediario con cui Curioni trattava, ma di ritenere per via di alcuni accenni che l'interlocutore fosse mandato dalle Brigate Rosse; gli incontri, almeno settimanali, avvenivano previ contatti telefonici e si tenevano prevalentemente a Napoli e in qualche caso nell'Italia settentrionale; nella fase finale la trattativa subi un'accelerazione e le Brigate Rosse si divisero in due gruppi. Il grado dell'esistenza della dichiarazione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 suo contenuto fattuale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testimonianza indiretta resa a trentotto anni di distanza da soggetto che dichiara di non aver conosciuto l'intermediario.</w:t>
      </w:r>
    </w:p>
    <w:p>
      <w:pPr>
        <w:spacing w:line="276" w:lineRule="auto" w:after="120" w:before="0"/>
        <w:ind w:firstLine="425"/>
        <w:jc w:val="both"/>
      </w:pPr>
      <w:r>
        <w:rPr>
          <w:rFonts w:ascii="Times New Roman" w:hAnsi="Times New Roman" w:cs="Times New Roman" w:eastAsia="Times New Roman"/>
          <w:b w:val="0"/>
          <w:i w:val="0"/>
          <w:sz w:val="24"/>
        </w:rPr>
        <w:t>Il dato geografico merita segnalazione autonoma. La collocazione prevalente degli incontri a Napoli non e coerente con il baricentro romano e settentrionale della struttura brigatista, ed e invece coerente con la sede di altri canali documentati nel corpus. La discrepanza e registrata come anomalia e iscritta fra le questioni aperte.</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la contestualita dell'iniziativa pontificia rispetto all'agguato, e si iscrive fra le questioni aperte l'anomalia della collocazione napoletana degli incontri di mediazione rispetto al baricentro territoriale della struttura brigatista.</w:t>
      </w:r>
    </w:p>
    <w:p>
      <w:pPr>
        <w:spacing w:line="276" w:lineRule="auto" w:after="160" w:before="240"/>
        <w:jc w:val="left"/>
      </w:pPr>
      <w:r>
        <w:rPr>
          <w:rFonts w:ascii="Times New Roman" w:hAnsi="Times New Roman" w:cs="Times New Roman" w:eastAsia="Times New Roman"/>
          <w:b/>
          <w:i w:val="0"/>
          <w:sz w:val="26"/>
        </w:rPr>
        <w:t>Blocco XXXII — Le mazzette di Castel Gandolfo</w:t>
      </w:r>
    </w:p>
    <w:p>
      <w:pPr>
        <w:spacing w:line="276" w:lineRule="auto" w:after="120" w:before="0"/>
        <w:ind w:firstLine="425"/>
        <w:jc w:val="both"/>
      </w:pPr>
      <w:r>
        <w:rPr>
          <w:rFonts w:ascii="Times New Roman" w:hAnsi="Times New Roman" w:cs="Times New Roman" w:eastAsia="Times New Roman"/>
          <w:b w:val="0"/>
          <w:i w:val="0"/>
          <w:sz w:val="24"/>
        </w:rPr>
        <w:t xml:space="preserve">Fabbri ha dichiarato di aver visto, il sei maggio millenovecentosettantotto, nella residenza pontificia di Castel Gandolfo, le mazzette di dollari messe a disposizione per il riscatto, non provenienti dallo Istituto per le Opere di Religione, del valore di circa dieci miliardi di lire, appoggiate sopra un tavolo e coperte da un panno di ciniglia azzurra. Il grado dell'esistenza della dichiarazione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 fatto dichiarato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testimonianza diretta ma singola e non riscontrata documentalmente.</w:t>
      </w:r>
    </w:p>
    <w:p>
      <w:pPr>
        <w:spacing w:line="276" w:lineRule="auto" w:after="120" w:before="0"/>
        <w:ind w:firstLine="425"/>
        <w:jc w:val="both"/>
      </w:pPr>
      <w:r>
        <w:rPr>
          <w:rFonts w:ascii="Times New Roman" w:hAnsi="Times New Roman" w:cs="Times New Roman" w:eastAsia="Times New Roman"/>
          <w:b w:val="0"/>
          <w:i w:val="0"/>
          <w:sz w:val="24"/>
        </w:rPr>
        <w:t>Tre elementi della dichiarazione hanno rilievo distinto e vanno trattati separatamente. Il primo e la data: il sei maggio e a tre giorni dall'uccisione, il che colloca la disponibilita materiale del riscatto in una fase in cui l'esito era ancora aperto. Il secondo e la precisazione sulla provenienza non riconducibile all'Istituto per le Opere di Religione, che il teste fornisce spontaneamente e che, per la sua natura di dichiarazione autolimitativa su un punto non richiesto, presenta indice di attendibilita superiore alla media. Il terzo e l'entita, che il corpus documenta essere stata oggetto di trattazione storiografica autonoma.</w:t>
      </w:r>
    </w:p>
    <w:p>
      <w:pPr>
        <w:spacing w:line="276" w:lineRule="auto" w:after="120" w:before="0"/>
        <w:ind w:firstLine="425"/>
        <w:jc w:val="both"/>
      </w:pPr>
      <w:r>
        <w:rPr>
          <w:rFonts w:ascii="Times New Roman" w:hAnsi="Times New Roman" w:cs="Times New Roman" w:eastAsia="Times New Roman"/>
          <w:b w:val="0"/>
          <w:i w:val="0"/>
          <w:sz w:val="24"/>
        </w:rPr>
        <w:t>La provenienza dei fondi resta non accertata. Si e in presenza di uno Stato Zero con sede archivistica determinata, poiche la contabilita della Segreteria di Stato per l'esercizio in questione esiste come oggetto archivistico, e con condizione di chiusura enunciabile, poiche coincide con i termini di consultabilita dei fondi vaticani. La lacuna e percio rimediabile e si iscrive nella Tavola Unica con priorita elevata, in quanto il suo scioglimento produrrebbe conseguenze su piu nodi del grafo.</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la provenienza del riscatto come Stato Zero a rimediabilita elevata, con sede archivistica determinata e condizione di apertura enunciabile, e la si iscrive con priorita nella Tavola Unica.</w:t>
      </w:r>
    </w:p>
    <w:p>
      <w:pPr>
        <w:spacing w:line="276" w:lineRule="auto" w:after="160" w:before="240"/>
        <w:jc w:val="left"/>
      </w:pPr>
      <w:r>
        <w:rPr>
          <w:rFonts w:ascii="Times New Roman" w:hAnsi="Times New Roman" w:cs="Times New Roman" w:eastAsia="Times New Roman"/>
          <w:b/>
          <w:i w:val="0"/>
          <w:sz w:val="26"/>
        </w:rPr>
        <w:t>Blocco XXXIII — La lettera agli uomini delle Brigate Rosse</w:t>
      </w:r>
    </w:p>
    <w:p>
      <w:pPr>
        <w:spacing w:line="276" w:lineRule="auto" w:after="120" w:before="0"/>
        <w:ind w:firstLine="425"/>
        <w:jc w:val="both"/>
      </w:pPr>
      <w:r>
        <w:rPr>
          <w:rFonts w:ascii="Times New Roman" w:hAnsi="Times New Roman" w:cs="Times New Roman" w:eastAsia="Times New Roman"/>
          <w:b w:val="0"/>
          <w:i w:val="0"/>
          <w:sz w:val="24"/>
        </w:rPr>
        <w:t xml:space="preserve">Il ventuno aprile millenovecentosettantotto Paolo Sesto rivolse un appello pubblico agli uomini delle Brigate Rosse. Il grado dell'esistenza e del testo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corpus consente di precisare le circostanze redazionali e di correggere una versione corrente. Fabbri ha smentito gli articoli secondo cui Curioni si sarebbe trovato con il Pontefice e con Macchi nell'appartamento papale quella sera e avrebbe partecipato materialmente alla stesura: per quanto egli ricorda, Curioni era nella propria casa di Asso, in Lombardia, dove dopo la mezzanotte ricevette una telefonata del Pontefice che gli lesse il testo dell'appello per averne un riscontro. Il grado della smentita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dichiarazione singola resa da collaboratore diretto.</w:t>
      </w:r>
    </w:p>
    <w:p>
      <w:pPr>
        <w:spacing w:line="276" w:lineRule="auto" w:after="120" w:before="0"/>
        <w:ind w:firstLine="425"/>
        <w:jc w:val="both"/>
      </w:pPr>
      <w:r>
        <w:rPr>
          <w:rFonts w:ascii="Times New Roman" w:hAnsi="Times New Roman" w:cs="Times New Roman" w:eastAsia="Times New Roman"/>
          <w:b w:val="0"/>
          <w:i w:val="0"/>
          <w:sz w:val="24"/>
        </w:rPr>
        <w:t>La precisazione non e minuta erudita. Essa modifica la qualificazione dell'atto: non documento redatto collegialmente dall'apparato della mediazione, ma testo di iniziativa personale del Pontefice sottoposto a verifica ex post al proprio mediatore. La distinzione ha effetti sull'interpretazione della celebre clausola condizionale contenuta nell'appello, la cui formulazione fu all'epoca e resta oggetto di controversia interpretativa che il registro non risolve e registra come tale.</w:t>
      </w:r>
    </w:p>
    <w:p>
      <w:pPr>
        <w:spacing w:line="276" w:lineRule="auto" w:after="120" w:before="0"/>
        <w:ind w:firstLine="425"/>
        <w:jc w:val="both"/>
      </w:pPr>
      <w:r>
        <w:rPr>
          <w:rFonts w:ascii="Times New Roman" w:hAnsi="Times New Roman" w:cs="Times New Roman" w:eastAsia="Times New Roman"/>
          <w:b w:val="0"/>
          <w:i w:val="0"/>
          <w:sz w:val="24"/>
        </w:rPr>
        <w:t xml:space="preserve">Va infine acquisito il dato riferito dal teste secondo cui l'otto maggio millenovecentosettantotto la Santa Sede era in attesa di un segnale positivo per il rilascio, che non arrivo.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Il dato colloca l'aspettativa istituzionale di esito positivo a meno di ventiquattro ore dall'uccisione.</w:t>
      </w:r>
    </w:p>
    <w:p>
      <w:pPr>
        <w:spacing w:line="276" w:lineRule="auto" w:after="240" w:before="0"/>
        <w:ind w:firstLine="425"/>
        <w:jc w:val="both"/>
      </w:pPr>
      <w:r>
        <w:rPr>
          <w:rFonts w:ascii="Times New Roman" w:hAnsi="Times New Roman" w:cs="Times New Roman" w:eastAsia="Times New Roman"/>
          <w:b w:val="0"/>
          <w:i/>
          <w:sz w:val="22"/>
        </w:rPr>
        <w:t>Sintesi del dato nuovo acquisito: si riqualifica l'appello del ventuno aprile come atto di iniziativa personale del Pontefice con verifica ex post, anziche come documento collegiale della mediazione, e si registra la persistenza dell'aspettativa vaticana di esito positivo fino all'otto maggio.</w:t>
      </w:r>
    </w:p>
    <w:p>
      <w:pPr>
        <w:spacing w:line="276" w:lineRule="auto" w:after="160" w:before="240"/>
        <w:jc w:val="left"/>
      </w:pPr>
      <w:r>
        <w:rPr>
          <w:rFonts w:ascii="Times New Roman" w:hAnsi="Times New Roman" w:cs="Times New Roman" w:eastAsia="Times New Roman"/>
          <w:b/>
          <w:i w:val="0"/>
          <w:sz w:val="26"/>
        </w:rPr>
        <w:t>Blocco XXXIV — Il Lago della Duchessa e il canale ecclesiastico come rilevatore del depistaggio</w:t>
      </w:r>
    </w:p>
    <w:p>
      <w:pPr>
        <w:spacing w:line="276" w:lineRule="auto" w:after="120" w:before="0"/>
        <w:ind w:firstLine="425"/>
        <w:jc w:val="both"/>
      </w:pPr>
      <w:r>
        <w:rPr>
          <w:rFonts w:ascii="Times New Roman" w:hAnsi="Times New Roman" w:cs="Times New Roman" w:eastAsia="Times New Roman"/>
          <w:b w:val="0"/>
          <w:i w:val="0"/>
          <w:sz w:val="24"/>
        </w:rPr>
        <w:t>Il blocco documenta l'unico caso, nell'intera sezione, in cui un canale religioso produce un risultato conoscitivo verificabile e verificato, e per questa ragione occupa una posizione singolare nel registro.</w:t>
      </w:r>
    </w:p>
    <w:p>
      <w:pPr>
        <w:spacing w:line="276" w:lineRule="auto" w:after="120" w:before="0"/>
        <w:ind w:firstLine="425"/>
        <w:jc w:val="both"/>
      </w:pPr>
      <w:r>
        <w:rPr>
          <w:rFonts w:ascii="Times New Roman" w:hAnsi="Times New Roman" w:cs="Times New Roman" w:eastAsia="Times New Roman"/>
          <w:b w:val="0"/>
          <w:i w:val="0"/>
          <w:sz w:val="24"/>
        </w:rPr>
        <w:t xml:space="preserve">Fabbri ha dichiarato che Curioni fu informato dall'intermediario che non era vero che il corpo di Moro si trovasse nel lago, e che l'informazione giunse a Curioni mentre si trovava presso il Ministero di grazia e giustizia; il prelato chiamo subito il Presidente del Consiglio Giulio Andreotti per avvisarlo del depistaggio e far cessare il drenaggio del lago. Il grado dell'esistenza della dichiarazione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 contenuto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L'elemento decisivo e che il contenuto informativo fu successivamente confermato dai fatti: il falso comunicato numero sette del diciotto aprile millenovecentosettantotto e accertato come tale, e Moro stesso lo defini la macabra prova generale della propria esecuzione. Si dispone dunque, in questo caso e diversamente da tutti gli altri della sezione, di una verifica ex post del contenuto trasmesso attraverso il canale.</w:t>
      </w:r>
    </w:p>
    <w:p>
      <w:pPr>
        <w:spacing w:line="276" w:lineRule="auto" w:after="120" w:before="0"/>
        <w:ind w:firstLine="425"/>
        <w:jc w:val="both"/>
      </w:pPr>
      <w:r>
        <w:rPr>
          <w:rFonts w:ascii="Times New Roman" w:hAnsi="Times New Roman" w:cs="Times New Roman" w:eastAsia="Times New Roman"/>
          <w:b w:val="0"/>
          <w:i w:val="0"/>
          <w:sz w:val="24"/>
        </w:rPr>
        <w:t>La conseguenza analitica va enunciata con precisione per evitare fraintendimenti. Il canale ecclesiastico si dimostra qui informativamente attendibile, il che non attesta alcunche sulla natura religiosa del canale e attesta invece la qualita della fonte brigatista che vi confluiva. Il valore probatorio si trasferisce all'origine dell'informazione, non al mezzo che la trasporta: il canale e stato buon conduttore, non buona sorgente. Questa distinzione fra qualita della sorgente e qualita del conduttore e formalizzata qui e vale per l'intero registro.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l'unico caso di verifica ex post positiva del contenuto trasmesso da un canale religioso, e si formalizza la distinzione fra qualita della sorgente e qualita del conduttore, con divieto di trasferire al mezzo il credito che compete all'origine.</w:t>
      </w:r>
    </w:p>
    <w:p>
      <w:pPr>
        <w:spacing w:line="276" w:lineRule="auto" w:after="160" w:before="240"/>
        <w:jc w:val="left"/>
      </w:pPr>
      <w:r>
        <w:rPr>
          <w:rFonts w:ascii="Times New Roman" w:hAnsi="Times New Roman" w:cs="Times New Roman" w:eastAsia="Times New Roman"/>
          <w:b/>
          <w:i w:val="0"/>
          <w:sz w:val="26"/>
        </w:rPr>
        <w:t>Blocco XXXV — Il nove maggio e il fallimento della mediazione</w:t>
      </w:r>
    </w:p>
    <w:p>
      <w:pPr>
        <w:spacing w:line="276" w:lineRule="auto" w:after="120" w:before="0"/>
        <w:ind w:firstLine="425"/>
        <w:jc w:val="both"/>
      </w:pPr>
      <w:r>
        <w:rPr>
          <w:rFonts w:ascii="Times New Roman" w:hAnsi="Times New Roman" w:cs="Times New Roman" w:eastAsia="Times New Roman"/>
          <w:b w:val="0"/>
          <w:i w:val="0"/>
          <w:sz w:val="24"/>
        </w:rPr>
        <w:t xml:space="preserve">La bibliografia acquisita al corpus registra la storiografia del fallimento della mediazione vaticana, e in particolare la trattazione di Miguel Gotor sulla giornata del nove maggio millenovecentosettantotto e sulla figura dell'intermediario non identificato cui e stato attribuito il ruolo di terminale del canale del riscatto. Il grado dell'esistenza di questa letteratura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delle ricostruzioni che essa propone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elaborazione storiografica fondata su fonti documentate ma non su accertamento giurisdizionale.</w:t>
      </w:r>
    </w:p>
    <w:p>
      <w:pPr>
        <w:spacing w:line="276" w:lineRule="auto" w:after="120" w:before="0"/>
        <w:ind w:firstLine="425"/>
        <w:jc w:val="both"/>
      </w:pPr>
      <w:r>
        <w:rPr>
          <w:rFonts w:ascii="Times New Roman" w:hAnsi="Times New Roman" w:cs="Times New Roman" w:eastAsia="Times New Roman"/>
          <w:b w:val="0"/>
          <w:i w:val="0"/>
          <w:sz w:val="24"/>
        </w:rPr>
        <w:t>Il registro non ratifica ricostruzioni identificative e ne registra l'esistenza. Cio che acquisisce con sicurezza e la struttura del fallimento, che presenta quattro elementi ciascuno documentato: la mediazione fu attivata il giorno stesso del sequestro; disponeva di risorse materiali collocate il sei maggio; disponeva di un canale che aveva gia dimostrato attendibilita informativa nel caso del falso comunicato; e attendeva un segnale positivo fino all'otto maggio.</w:t>
      </w:r>
    </w:p>
    <w:p>
      <w:pPr>
        <w:spacing w:line="276" w:lineRule="auto" w:after="120" w:before="0"/>
        <w:ind w:firstLine="425"/>
        <w:jc w:val="both"/>
      </w:pPr>
      <w:r>
        <w:rPr>
          <w:rFonts w:ascii="Times New Roman" w:hAnsi="Times New Roman" w:cs="Times New Roman" w:eastAsia="Times New Roman"/>
          <w:b w:val="0"/>
          <w:i w:val="0"/>
          <w:sz w:val="24"/>
        </w:rPr>
        <w:t>Una mediazione con queste quattro caratteristiche non fallisce per difetto di mezzi, di tempestivita o di credibilita del canale. Ne discende che la causa del fallimento va cercata altrove, e le ipotesi concorrenti compatibili con il corpus sono almeno tre: che la decisione fosse gia stata assunta dal lato brigatista indipendentemente dalla trattativa; che il canale terminale non avesse capacita decisionale sulla parte della struttura che deteneva l'ostaggio, ipotesi coerente con la divisione in due gruppi riferita dal teste; che vi sia stata interferenza esterna sul canale. Il registro non seleziona fra le tre e le iscrive come ipotesi concorrenti da sottoporre a matrice di consistenza.</w:t>
      </w:r>
    </w:p>
    <w:p>
      <w:pPr>
        <w:spacing w:line="276" w:lineRule="auto" w:after="240" w:before="0"/>
        <w:ind w:firstLine="425"/>
        <w:jc w:val="both"/>
      </w:pPr>
      <w:r>
        <w:rPr>
          <w:rFonts w:ascii="Times New Roman" w:hAnsi="Times New Roman" w:cs="Times New Roman" w:eastAsia="Times New Roman"/>
          <w:b w:val="0"/>
          <w:i/>
          <w:sz w:val="22"/>
        </w:rPr>
        <w:t>Sintesi del dato nuovo acquisito: si esclude per via strutturale che il fallimento della mediazione vaticana sia imputabile a difetto di mezzi, tempestivita o attendibilita del canale, e si iscrivono tre ipotesi concorrenti alternative da sottoporre ad analisi di consistenza.</w:t>
      </w:r>
    </w:p>
    <w:p>
      <w:pPr>
        <w:spacing w:line="276" w:lineRule="auto" w:after="160" w:before="240"/>
        <w:jc w:val="left"/>
      </w:pPr>
      <w:r>
        <w:rPr>
          <w:rFonts w:ascii="Times New Roman" w:hAnsi="Times New Roman" w:cs="Times New Roman" w:eastAsia="Times New Roman"/>
          <w:b/>
          <w:i w:val="0"/>
          <w:sz w:val="26"/>
        </w:rPr>
        <w:t>Blocco XXXVI — Il triangolo Marcinkus, Calvi, Sindona</w:t>
      </w:r>
    </w:p>
    <w:p>
      <w:pPr>
        <w:spacing w:line="276" w:lineRule="auto" w:after="120" w:before="0"/>
        <w:ind w:firstLine="425"/>
        <w:jc w:val="both"/>
      </w:pPr>
      <w:r>
        <w:rPr>
          <w:rFonts w:ascii="Times New Roman" w:hAnsi="Times New Roman" w:cs="Times New Roman" w:eastAsia="Times New Roman"/>
          <w:b w:val="0"/>
          <w:i w:val="0"/>
          <w:sz w:val="24"/>
        </w:rPr>
        <w:t>Il corpus qualifica il triangolo fra Paul Casimir Marcinkus, Roberto Calvi e Michele Sindona come archetipo del nodo di accoppiamento strutturale fra dominio religioso, dominio economico e dominio massonico, e ne ricostruisce la cronologia.</w:t>
      </w:r>
    </w:p>
    <w:p>
      <w:pPr>
        <w:spacing w:line="276" w:lineRule="auto" w:after="120" w:before="0"/>
        <w:ind w:firstLine="425"/>
        <w:jc w:val="both"/>
      </w:pPr>
      <w:r>
        <w:rPr>
          <w:rFonts w:ascii="Times New Roman" w:hAnsi="Times New Roman" w:cs="Times New Roman" w:eastAsia="Times New Roman"/>
          <w:b w:val="0"/>
          <w:i w:val="0"/>
          <w:sz w:val="24"/>
        </w:rPr>
        <w:t xml:space="preserve">Marcinkus, arcivescovo statunitense di origine lituana, presiedette l'Istituto per le Opere di Religione dal millenovecentosettantuno. Il corpus attribuisce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all'ipotesi della sua iscrizione personale alla Loggia Propaganda Due, sostenuta dalla menzione nei materiali della Commissione Anselmi ma controversa nella documentazione vaticana ufficiale, e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alla complicita funzionale nelle operazioni del Banco Ambrosiano attraverso le lettere di patronage emesse dall'Istituto, sostenuta dai materiali del processo milanese e dal successivo riconoscimento vaticano di una responsabilita morale, pur negata quella giuridica. Il registro ratifica entrambe le collocazioni.</w:t>
      </w:r>
    </w:p>
    <w:p>
      <w:pPr>
        <w:spacing w:line="276" w:lineRule="auto" w:after="120" w:before="0"/>
        <w:ind w:firstLine="425"/>
        <w:jc w:val="both"/>
      </w:pPr>
      <w:r>
        <w:rPr>
          <w:rFonts w:ascii="Times New Roman" w:hAnsi="Times New Roman" w:cs="Times New Roman" w:eastAsia="Times New Roman"/>
          <w:b w:val="0"/>
          <w:i w:val="0"/>
          <w:sz w:val="24"/>
        </w:rPr>
        <w:t>La sequenza cronologica acquisita e la seguente. Nel millenovecentosessantanove Sindona acquisisce la Banca Privata Italiana e la Banca Privata Finanziaria, intrattenendo rapporti consolidati con l'Istituto per operazioni di trasferimento di capitali; nel millenovecentosettantaquattro le sue banche crollano ed egli ripara negli Stati Uniti; nel millenovecentosettantacinque Calvi, divenuto presidente del Banco Ambrosiano, raccoglie l'eredita del rapporto con l'Istituto; l'undici luglio millenovecentosettantanove viene ucciso a Milano Giorgio Ambrosoli, commissario liquidatore della Banca Privata Italiana; il diciassette giugno millenovecentottantadue il Banco Ambrosiano crolla e il giorno seguente Calvi e trovato morto a Londra; Sindona muore in carcere il ventidue marzo millenovecentottantasei per avvelenamento da cianuro.</w:t>
      </w:r>
    </w:p>
    <w:p>
      <w:pPr>
        <w:spacing w:line="276" w:lineRule="auto" w:after="120" w:before="0"/>
        <w:ind w:firstLine="425"/>
        <w:jc w:val="both"/>
      </w:pPr>
      <w:r>
        <w:rPr>
          <w:rFonts w:ascii="Times New Roman" w:hAnsi="Times New Roman" w:cs="Times New Roman" w:eastAsia="Times New Roman"/>
          <w:b w:val="0"/>
          <w:i w:val="0"/>
          <w:sz w:val="24"/>
        </w:rPr>
        <w:t>Il rilievo per la presente sezione consiste nella qualificazione della funzione dell'istituzione religiosa nella sequenza. L'Istituto non figura come attore ideologico ma come fornitore di una risorsa specifica e non sostituibile: una personalita giuridica sovrana esente dalla giurisdizione ordinaria. La risorsa e istituzionale e non spirituale, e va registrata come tale.</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la funzione dell'istituzione religiosa nella sequenza finanziaria come fornitura di una risorsa istituzionale non sostituibile, la sovranita giurisdizionale, e non come apporto ideologico o spirituale.</w:t>
      </w:r>
    </w:p>
    <w:p>
      <w:pPr>
        <w:spacing w:line="276" w:lineRule="auto" w:after="160" w:before="240"/>
        <w:jc w:val="left"/>
      </w:pPr>
      <w:r>
        <w:rPr>
          <w:rFonts w:ascii="Times New Roman" w:hAnsi="Times New Roman" w:cs="Times New Roman" w:eastAsia="Times New Roman"/>
          <w:b/>
          <w:i w:val="0"/>
          <w:sz w:val="26"/>
        </w:rPr>
        <w:t>Blocco XXXVII — Il mandato di cattura mai eseguito e la sanctuary extraterritoriale</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che il Tribunale di Milano emise nel millenovecentottantasette mandato di cattura nei confronti del presidente dell'Istituto per le Opere di Religione, mai eseguito in ragione dell'extraterritorialita vaticana sancita dagli accordi.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appartiene al pattern del santuario extraterritoriale, gia formalizzato nel registro fra i pattern analitici, e ne costituisce la variante piu pura documentata nel corpus, poiche il santuario e qui prodotto non da un rapporto politico di fatto ma da una norma di diritto internazionale pattizio operante fra due Stati.</w:t>
      </w:r>
    </w:p>
    <w:p>
      <w:pPr>
        <w:spacing w:line="276" w:lineRule="auto" w:after="120" w:before="0"/>
        <w:ind w:firstLine="425"/>
        <w:jc w:val="both"/>
      </w:pPr>
      <w:r>
        <w:rPr>
          <w:rFonts w:ascii="Times New Roman" w:hAnsi="Times New Roman" w:cs="Times New Roman" w:eastAsia="Times New Roman"/>
          <w:b w:val="0"/>
          <w:i w:val="0"/>
          <w:sz w:val="24"/>
        </w:rPr>
        <w:t xml:space="preserve">La distinzione ha rendimento analitico. Il santuario di fatto e revocabile con la mutata volonta politica dello Stato ospitante ed e percio instabile; il santuario di diritto e revocabile solo mediante modifica di un trattato e presenta quindi una stabilita di ordine superiore. Ne discende un'attesa verificabile: la durata media della protezione dovrebbe risultare significativamente maggiore nel secondo tipo. La verifica non e stata condotta sul corpus e il grado dell'attesa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la lacuna e rimediabile mediante censimento dei casi di santuario documentati nel registro con misurazione della durata, e si iscrive nella Tavola Unica.</w:t>
      </w:r>
    </w:p>
    <w:p>
      <w:pPr>
        <w:spacing w:line="276" w:lineRule="auto" w:after="120" w:before="0"/>
        <w:ind w:firstLine="425"/>
        <w:jc w:val="both"/>
      </w:pPr>
      <w:r>
        <w:rPr>
          <w:rFonts w:ascii="Times New Roman" w:hAnsi="Times New Roman" w:cs="Times New Roman" w:eastAsia="Times New Roman"/>
          <w:b w:val="0"/>
          <w:i w:val="0"/>
          <w:sz w:val="24"/>
        </w:rPr>
        <w:t>Va registrata con precisione la portata del nodo: la norma extraterritoriale non fu creata per lo scopo cui in questo caso servi, e la sua applicazione fu conforme al trattato. Cio che il registro documenta non e un abuso ma un effetto strutturale, ed e distinzione che la disciplina sulle persone e sulle istituzioni impone di conservare.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distingue fra santuario extraterritoriale di fatto e di diritto, si formula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l'attesa di una maggiore durata protettiva del secondo tipo e si iscrive il censimento comparativo fra le lacune rimediabili.</w:t>
      </w:r>
    </w:p>
    <w:p>
      <w:pPr>
        <w:spacing w:line="276" w:lineRule="auto" w:after="160" w:before="240"/>
        <w:jc w:val="left"/>
      </w:pPr>
      <w:r>
        <w:rPr>
          <w:rFonts w:ascii="Times New Roman" w:hAnsi="Times New Roman" w:cs="Times New Roman" w:eastAsia="Times New Roman"/>
          <w:b/>
          <w:i w:val="0"/>
          <w:sz w:val="26"/>
        </w:rPr>
        <w:t>Blocco XXXVIII — Blackfriars: confutazione formale dell'inferenza simbolica</w:t>
      </w:r>
    </w:p>
    <w:p>
      <w:pPr>
        <w:spacing w:line="276" w:lineRule="auto" w:after="120" w:before="0"/>
        <w:ind w:firstLine="425"/>
        <w:jc w:val="both"/>
      </w:pPr>
      <w:r>
        <w:rPr>
          <w:rFonts w:ascii="Times New Roman" w:hAnsi="Times New Roman" w:cs="Times New Roman" w:eastAsia="Times New Roman"/>
          <w:b w:val="0"/>
          <w:i w:val="0"/>
          <w:sz w:val="24"/>
        </w:rPr>
        <w:t>Il registro procede a confutazione formale, iscrivibile fra le confutazioni registrate del progetto.</w:t>
      </w:r>
    </w:p>
    <w:p>
      <w:pPr>
        <w:spacing w:line="276" w:lineRule="auto" w:after="120" w:before="0"/>
        <w:ind w:firstLine="425"/>
        <w:jc w:val="both"/>
      </w:pPr>
      <w:r>
        <w:rPr>
          <w:rFonts w:ascii="Times New Roman" w:hAnsi="Times New Roman" w:cs="Times New Roman" w:eastAsia="Times New Roman"/>
          <w:b w:val="0"/>
          <w:i w:val="0"/>
          <w:sz w:val="24"/>
        </w:rPr>
        <w:t>L'affermazione confutata e che il luogo del rinvenimento del corpo di Roberto Calvi, il diciotto giugno millenovecentottantadue sotto il ponte dei Frati Neri a Londra, costituisca prova della natura rituale massonica dell'esecuzione, in ragione della corrispondenza fra il nome del ponte e la denominazione informale attribuita ai membri di una loggia.</w:t>
      </w:r>
    </w:p>
    <w:p>
      <w:pPr>
        <w:spacing w:line="276" w:lineRule="auto" w:after="120" w:before="0"/>
        <w:ind w:firstLine="425"/>
        <w:jc w:val="both"/>
      </w:pPr>
      <w:r>
        <w:rPr>
          <w:rFonts w:ascii="Times New Roman" w:hAnsi="Times New Roman" w:cs="Times New Roman" w:eastAsia="Times New Roman"/>
          <w:b w:val="0"/>
          <w:i w:val="0"/>
          <w:sz w:val="24"/>
        </w:rPr>
        <w:t>La confutazione non nega la coincidenza lessicale, che sussiste, e non nega la natura omicidiaria del fatto, che non e oggetto di questo blocco. Nega che dalla prima discenda una qualificazione della seconda, e vi procede su tre piani. Sul piano logico, la corrispondenza fra un toponimo e un lessico associativo e relazione di omonimia e non di causalita, e da essa non discende alcuna proposizione sull'agente. Sul piano fattuale, esiste una spiegazione alternativa non simbolica del luogo, poiche l'area appartiene al distretto finanziario in cui la vittima aveva effettivi interessi e frequentazioni, e la spiegazione alternativa e piu parsimoniosa. Sul piano metodologico, l'inferenza viola il divieto stabilito al blocco quinto e produrrebbe, se ammessa, la legittimazione di un numero indefinito di inferenze analoghe su qualsiasi toponimo.</w:t>
      </w:r>
    </w:p>
    <w:p>
      <w:pPr>
        <w:spacing w:line="276" w:lineRule="auto" w:after="120" w:before="0"/>
        <w:ind w:firstLine="425"/>
        <w:jc w:val="both"/>
      </w:pPr>
      <w:r>
        <w:rPr>
          <w:rFonts w:ascii="Times New Roman" w:hAnsi="Times New Roman" w:cs="Times New Roman" w:eastAsia="Times New Roman"/>
          <w:b w:val="0"/>
          <w:i w:val="0"/>
          <w:sz w:val="24"/>
        </w:rPr>
        <w:t>Va registrato che la confutazione non presuppone alcuna posizione sull'esistenza o inesistenza di responsabilita riconducibili ad ambienti associativi, questione che appartiene alle sezioni processuali del registro ed e ivi trattata secondo la disciplina propria. Il blocco confuta un'inferenza, non un'ipotesi di responsabilita.</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formalmente la confutazione dell'inferenza simbolica dal toponimo londinese, su base logica, fattuale e metodologica, con espressa delimitazione dell'oggetto confutato alla sola inferenza e non all'ipotesi di responsabilita.</w:t>
      </w:r>
    </w:p>
    <w:p>
      <w:pPr>
        <w:spacing w:line="276" w:lineRule="auto" w:after="160" w:before="240"/>
        <w:jc w:val="left"/>
      </w:pPr>
      <w:r>
        <w:rPr>
          <w:rFonts w:ascii="Times New Roman" w:hAnsi="Times New Roman" w:cs="Times New Roman" w:eastAsia="Times New Roman"/>
          <w:b/>
          <w:i w:val="0"/>
          <w:sz w:val="26"/>
        </w:rPr>
        <w:t>Blocco XXXIX — L'attentato del tredici maggio millenovecentottantuno e il limite dell'accertamento</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l'attentato a Giovanni Paolo Secondo del tredici maggio millenovecentottantuno ad opera di Ali Agca, proveniente dall'area dei Lupi Grigi turchi, come arco che collega dominio religioso, dominio del terrorismo e dominio dell'intelligence, e registra che l'ipotesi della pista bulgara e sovietica non e stata provata definitivamente. Il registro attribuisce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al fatto e all'identificazione dell'esecutore, e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all'ipotesi sui mandanti.</w:t>
      </w:r>
    </w:p>
    <w:p>
      <w:pPr>
        <w:spacing w:line="276" w:lineRule="auto" w:after="120" w:before="0"/>
        <w:ind w:firstLine="425"/>
        <w:jc w:val="both"/>
      </w:pPr>
      <w:r>
        <w:rPr>
          <w:rFonts w:ascii="Times New Roman" w:hAnsi="Times New Roman" w:cs="Times New Roman" w:eastAsia="Times New Roman"/>
          <w:b w:val="0"/>
          <w:i w:val="0"/>
          <w:sz w:val="24"/>
        </w:rPr>
        <w:t>Il blocco appartiene alla presente sezione per una ragione precisa: la data dell'attentato coincide con l'anniversario della prima apparizione di Fatima, e il Pontefice attribui successivamente a quella coincidenza un significato devozionale esplicito, depositando il proiettile presso il santuario. Si dispone dunque di un caso in cui un attore istituzionale di primo rango produce esso stesso un'interpretazione religiosa dell'evento.</w:t>
      </w:r>
    </w:p>
    <w:p>
      <w:pPr>
        <w:spacing w:line="276" w:lineRule="auto" w:after="120" w:before="0"/>
        <w:ind w:firstLine="425"/>
        <w:jc w:val="both"/>
      </w:pPr>
      <w:r>
        <w:rPr>
          <w:rFonts w:ascii="Times New Roman" w:hAnsi="Times New Roman" w:cs="Times New Roman" w:eastAsia="Times New Roman"/>
          <w:b w:val="0"/>
          <w:i w:val="0"/>
          <w:sz w:val="24"/>
        </w:rPr>
        <w:t xml:space="preserve">L'applicazione della doppia oggettualita probatoria e qui integrale e va enunciata. Il fatto che il Pontefice abbia formulato tale interpretazione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essendo pubblicamente attestato. Il contenuto dell'interpretazione, cioe l'intervento protettivo, e di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e non elevabile. Che la coincidenza calendariale sia stata deliberatamente scelta dall'esecutore o dai mandanti e proposizione distinta da entrambe, di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e allo stato priva di riscontro.</w:t>
      </w:r>
    </w:p>
    <w:p>
      <w:pPr>
        <w:spacing w:line="276" w:lineRule="auto" w:after="120" w:before="0"/>
        <w:ind w:firstLine="425"/>
        <w:jc w:val="both"/>
      </w:pPr>
      <w:r>
        <w:rPr>
          <w:rFonts w:ascii="Times New Roman" w:hAnsi="Times New Roman" w:cs="Times New Roman" w:eastAsia="Times New Roman"/>
          <w:b w:val="0"/>
          <w:i w:val="0"/>
          <w:sz w:val="24"/>
        </w:rPr>
        <w:t>La necessita di tenere separati tre gradi distinti relativi al medesimo evento e la migliore dimostrazione, nell'intera sezione, dell'utilita operativa della regola stabilita al blocco secondo.</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un caso in cui un attore istituzionale produce l'interpretazione religiosa dell'evento che lo riguarda, e si dimostra la necessita di distinguere tre gradi probatori distinti riferiti al medesimo fatto.</w:t>
      </w:r>
    </w:p>
    <w:p>
      <w:pPr>
        <w:spacing w:line="276" w:lineRule="auto" w:after="160" w:before="240"/>
        <w:jc w:val="left"/>
      </w:pPr>
      <w:r>
        <w:rPr>
          <w:rFonts w:ascii="Times New Roman" w:hAnsi="Times New Roman" w:cs="Times New Roman" w:eastAsia="Times New Roman"/>
          <w:b/>
          <w:i w:val="0"/>
          <w:sz w:val="26"/>
        </w:rPr>
        <w:t>Blocco XL — Zappolino, due aprile millenovecentosettantotto: i fatti</w:t>
      </w:r>
    </w:p>
    <w:p>
      <w:pPr>
        <w:spacing w:line="276" w:lineRule="auto" w:after="120" w:before="0"/>
        <w:ind w:firstLine="425"/>
        <w:jc w:val="both"/>
      </w:pPr>
      <w:r>
        <w:rPr>
          <w:rFonts w:ascii="Times New Roman" w:hAnsi="Times New Roman" w:cs="Times New Roman" w:eastAsia="Times New Roman"/>
          <w:b w:val="0"/>
          <w:i w:val="0"/>
          <w:sz w:val="24"/>
        </w:rPr>
        <w:t xml:space="preserve">Il registro riporta il fatto nella formulazione della Commissione parlamentare d'inchiesta, che ne costituisce la fonte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conservandone anche la cautela introduttiva.</w:t>
      </w:r>
    </w:p>
    <w:p>
      <w:pPr>
        <w:spacing w:line="276" w:lineRule="auto" w:after="120" w:before="0"/>
        <w:ind w:firstLine="425"/>
        <w:jc w:val="both"/>
      </w:pPr>
      <w:r>
        <w:rPr>
          <w:rFonts w:ascii="Times New Roman" w:hAnsi="Times New Roman" w:cs="Times New Roman" w:eastAsia="Times New Roman"/>
          <w:b w:val="0"/>
          <w:i w:val="0"/>
          <w:sz w:val="24"/>
        </w:rPr>
        <w:t>Il due aprile millenovecentosettantotto Alberto, Adriana, Carlo e Licia Clo, Mario Baldassarri e la moglie Gabriella, Romano e Flavia Prodi, Francesco Bernardi ed Emilia Fanciulli si riuniscono in una casa, e per allontanare la noia a qualcuno dei partecipanti viene l'idea di tenere una seduta spiritica con il sistema del piattino rotante su un foglio contenente lettere alfabetiche e numeri. I partecipanti avrebbero evocato don Luigi Sturzo e Giorgio La Pira chiedendo dove si trovasse la prigione di Aldo Moro. Gli spiriti, attraverso il piattino, formarono le parole Bolsena, Viterbo, Gradoli e indicarono anche il numero novantasei.</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inoltre, da altra fonte, che la riunione avvenne a Zappolino, frazione di Valsamoggia in provincia di Bologna, che vi partecipavano anche le famiglie di Fabio Gobbo, e che nella medesima villa, in altra stanza rispetto a quella della seduta, era presente Beniamino Andreatta con la moglie. Il grado di questi elementi integrativi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seguito documentato e il seguente: informati i vertici del Ministero dell'Interno, il capo della Polizia fece perquisire la localita Gradoli il sei aprile, senza risultati.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registro applica qui, senza eccezione, la regola della doppia oggettualita: che la seduta si sia tenuta e che il piattino abbia composto quelle parole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che l'informazione provenga dalle entita evocate e di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privo di falsificatore concepibile, e non entra in alcuna catena inferenziale.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fissano al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i fatti materiali della seduta, dei nomi dei partecipanti, dei toponimi e del numero composti e della perquisizione del sei aprile, con integrazioni di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su luogo e presenze ulteriori.</w:t>
      </w:r>
    </w:p>
    <w:p>
      <w:pPr>
        <w:spacing w:line="276" w:lineRule="auto" w:after="160" w:before="240"/>
        <w:jc w:val="left"/>
      </w:pPr>
      <w:r>
        <w:rPr>
          <w:rFonts w:ascii="Times New Roman" w:hAnsi="Times New Roman" w:cs="Times New Roman" w:eastAsia="Times New Roman"/>
          <w:b/>
          <w:i w:val="0"/>
          <w:sz w:val="26"/>
        </w:rPr>
        <w:t>Blocco XLI — Le versioni discordanti sul trattamento dell'informazione</w:t>
      </w:r>
    </w:p>
    <w:p>
      <w:pPr>
        <w:spacing w:line="276" w:lineRule="auto" w:after="120" w:before="0"/>
        <w:ind w:firstLine="425"/>
        <w:jc w:val="both"/>
      </w:pPr>
      <w:r>
        <w:rPr>
          <w:rFonts w:ascii="Times New Roman" w:hAnsi="Times New Roman" w:cs="Times New Roman" w:eastAsia="Times New Roman"/>
          <w:b w:val="0"/>
          <w:i w:val="0"/>
          <w:sz w:val="24"/>
        </w:rPr>
        <w:t>Il blocco documenta una divergenza fra deposizioni istituzionali che il registro non compone e registra come tale, in applicazione dell'invariante secondo cui il silenzio e la discordanza si investigano e non si asseriscono.</w:t>
      </w:r>
    </w:p>
    <w:p>
      <w:pPr>
        <w:spacing w:line="276" w:lineRule="auto" w:after="120" w:before="0"/>
        <w:ind w:firstLine="425"/>
        <w:jc w:val="both"/>
      </w:pPr>
      <w:r>
        <w:rPr>
          <w:rFonts w:ascii="Times New Roman" w:hAnsi="Times New Roman" w:cs="Times New Roman" w:eastAsia="Times New Roman"/>
          <w:b w:val="0"/>
          <w:i w:val="0"/>
          <w:sz w:val="24"/>
        </w:rPr>
        <w:t>Romano Prodi ha sostenuto di aver portato pochi giorni dopo a Roma, in piazza del Gesu, l'indicazione Gradoli, riferendola a Umberto Cavina, segretario di Benigno Zaccagnini. Francesco Cossiga ha dichiarato davanti alla Corte d'assise di Roma nell'ottobre millenovecentottantadue che Luigi Zanda gli parlo di via Gradoli e che aveva avvisato prima verbalmente e poi per iscritto il capo della Polizia, e in altra sede ha riferito che Zanda gli porto un foglio con quanto riferitogli da Cavina, indicando Gradoli in provincia di Viterbo. Eleonora Moro ha affermato al processo nel millenovecentottantadue di aver suggerito l'ipotesi che Gradoli fosse il nome di una via di Roma e che le fu riferito che erano stati a vedere in quella zona trovando solo appartamenti chiusi, con la giustificazione che non si potevano sfondare le porte di ogni casa della strada. Giovanni Moro ha affermato che fu Cossiga a sostenere che via Gradoli non esisteva nello stradario di Roma; Cossiga ha escluso di essere stato lui a negarne l'esistenza.</w:t>
      </w:r>
    </w:p>
    <w:p>
      <w:pPr>
        <w:spacing w:line="276" w:lineRule="auto" w:after="120" w:before="0"/>
        <w:ind w:firstLine="425"/>
        <w:jc w:val="both"/>
      </w:pPr>
      <w:r>
        <w:rPr>
          <w:rFonts w:ascii="Times New Roman" w:hAnsi="Times New Roman" w:cs="Times New Roman" w:eastAsia="Times New Roman"/>
          <w:b w:val="0"/>
          <w:i w:val="0"/>
          <w:sz w:val="24"/>
        </w:rPr>
        <w:t xml:space="preserve">Il grado dell'esistenza di ciascuna deposizione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Il grado del fatto sottostante e indeterminato, poiche le deposizioni sono reciprocamente incompatibili almeno su un punto, ossia l'identita di chi affermo l'inesistenza della via nello stradario.</w:t>
      </w:r>
    </w:p>
    <w:p>
      <w:pPr>
        <w:spacing w:line="276" w:lineRule="auto" w:after="120" w:before="0"/>
        <w:ind w:firstLine="425"/>
        <w:jc w:val="both"/>
      </w:pPr>
      <w:r>
        <w:rPr>
          <w:rFonts w:ascii="Times New Roman" w:hAnsi="Times New Roman" w:cs="Times New Roman" w:eastAsia="Times New Roman"/>
          <w:b w:val="0"/>
          <w:i w:val="0"/>
          <w:sz w:val="24"/>
        </w:rPr>
        <w:t>Il registro segnala che l'incompatibilita riguarda un elemento verificabile e non un giudizio: una via esiste o non esiste nello stradario, e il corpus registra che nell'elenco telefonico dell'epoca la via risultava presente. La discordanza non e dunque riconducibile a divergenza interpretativa e resta anomalia aperta.</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come anomalia aperta e non componibile la discordanza fra deposizioni istituzionali su un elemento verificabile, e non su un giudizio, relativo all'esistenza della via nello stradario cittadino.</w:t>
      </w:r>
    </w:p>
    <w:p>
      <w:pPr>
        <w:spacing w:line="276" w:lineRule="auto" w:after="160" w:before="240"/>
        <w:jc w:val="left"/>
      </w:pPr>
      <w:r>
        <w:rPr>
          <w:rFonts w:ascii="Times New Roman" w:hAnsi="Times New Roman" w:cs="Times New Roman" w:eastAsia="Times New Roman"/>
          <w:b/>
          <w:i w:val="0"/>
          <w:sz w:val="26"/>
        </w:rPr>
        <w:t>Blocco XLII — Il numero novantasei e la testimonianza Anselmi</w:t>
      </w:r>
    </w:p>
    <w:p>
      <w:pPr>
        <w:spacing w:line="276" w:lineRule="auto" w:after="120" w:before="0"/>
        <w:ind w:firstLine="425"/>
        <w:jc w:val="both"/>
      </w:pPr>
      <w:r>
        <w:rPr>
          <w:rFonts w:ascii="Times New Roman" w:hAnsi="Times New Roman" w:cs="Times New Roman" w:eastAsia="Times New Roman"/>
          <w:b w:val="0"/>
          <w:i w:val="0"/>
          <w:sz w:val="24"/>
        </w:rPr>
        <w:t>La deposizione di Tina Anselmi costituisce, all'interno del blocco documentale sulla seduta, l'elemento di maggiore densita informativa e va trattata separatamente.</w:t>
      </w:r>
    </w:p>
    <w:p>
      <w:pPr>
        <w:spacing w:line="276" w:lineRule="auto" w:after="120" w:before="0"/>
        <w:ind w:firstLine="425"/>
        <w:jc w:val="both"/>
      </w:pPr>
      <w:r>
        <w:rPr>
          <w:rFonts w:ascii="Times New Roman" w:hAnsi="Times New Roman" w:cs="Times New Roman" w:eastAsia="Times New Roman"/>
          <w:b w:val="0"/>
          <w:i w:val="0"/>
          <w:sz w:val="24"/>
        </w:rPr>
        <w:t xml:space="preserve">Il corpus registra la sua dichiarazione, resa in risposta a quesiti del Presidente della prima Commissione parlamentare sul caso Moro con lettera del venti dicembre millenovecentottanta, secondo cui la scritta era Gradoli, via Cassia, Viterbo, sei e undici, e secondo cui il sei e il sei capovolto compongono novantasei, mentre accanto a Gradoli comparivano numeri interpretabili come distanza fra Gradoli e Viterbo oppure come numero civico e interno di via Gradoli a Roma; la fonte da lei indicata e Cavina. Il grado dell'esistenza della dichiarazione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rilievo della deposizione e stato esplicitato da Ferdinando Imposimato davanti alla Commissione stragi nel novembre millenovecentonovantanove, in termini che il registro riporta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all'esistenza dell'audizione: egli ha osservato che l'onorevole Anselmi riferiva non solo il nome Gradoli ma anche l'indicazione della Cassia e il numero corrispondente al civico dello stabile dove era la base, e che cio contrasta con quanto dichiarato da Cossiga, il quale non fa riferimento al numero civico e alla via Cassia; ha aggiunto di non ritenere si sia trattato di una seduta spiritica bensi di un'informazione proveniente dall'Autonomia bolognese o da altri, e di ritenere l'onorevole Anselmi persona della cui attendibilita non e possibile dubitare.</w:t>
      </w:r>
    </w:p>
    <w:p>
      <w:pPr>
        <w:spacing w:line="276" w:lineRule="auto" w:after="120" w:before="0"/>
        <w:ind w:firstLine="425"/>
        <w:jc w:val="both"/>
      </w:pPr>
      <w:r>
        <w:rPr>
          <w:rFonts w:ascii="Times New Roman" w:hAnsi="Times New Roman" w:cs="Times New Roman" w:eastAsia="Times New Roman"/>
          <w:b w:val="0"/>
          <w:i w:val="0"/>
          <w:sz w:val="24"/>
        </w:rPr>
        <w:t xml:space="preserve">L'elemento analitico decisivo e la specificita. Un'indicazione toponomastica generica puo risultare da coincidenza; un'indicazione che comprende via, arteria di riferimento e numero civico non lo puo, poiche lo spazio delle combinazioni possibili rende la coincidenza casuale estremamente improbabile. Il grado di questa proposizione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in quanto ragionamento probabilistico non formalizzato, e il registro iscrive fra le lacune rimediabili il calcolo esplicito della probabilita di coincidenza sullo spazio toponomastico romano dell'epoca.</w:t>
      </w:r>
    </w:p>
    <w:p>
      <w:pPr>
        <w:spacing w:line="276" w:lineRule="auto" w:after="240" w:before="0"/>
        <w:ind w:firstLine="425"/>
        <w:jc w:val="both"/>
      </w:pPr>
      <w:r>
        <w:rPr>
          <w:rFonts w:ascii="Times New Roman" w:hAnsi="Times New Roman" w:cs="Times New Roman" w:eastAsia="Times New Roman"/>
          <w:b w:val="0"/>
          <w:i/>
          <w:sz w:val="22"/>
        </w:rPr>
        <w:t>Sintesi del dato nuovo acquisito: si isola la specificita dell'indicazione riferita dalla deposizione Anselmi, comprensiva di via, arteria e civico, come elemento che esclude in via probabilistica la coincidenza casuale, e si iscrive il calcolo formale fra le lacune rimediabili.</w:t>
      </w:r>
    </w:p>
    <w:p>
      <w:pPr>
        <w:spacing w:line="276" w:lineRule="auto" w:after="160" w:before="240"/>
        <w:jc w:val="left"/>
      </w:pPr>
      <w:r>
        <w:rPr>
          <w:rFonts w:ascii="Times New Roman" w:hAnsi="Times New Roman" w:cs="Times New Roman" w:eastAsia="Times New Roman"/>
          <w:b/>
          <w:i w:val="0"/>
          <w:sz w:val="26"/>
        </w:rPr>
        <w:t>Blocco XLIII — L'ipotesi della copertura di fonte riservata</w:t>
      </w:r>
    </w:p>
    <w:p>
      <w:pPr>
        <w:spacing w:line="276" w:lineRule="auto" w:after="120" w:before="0"/>
        <w:ind w:firstLine="425"/>
        <w:jc w:val="both"/>
      </w:pPr>
      <w:r>
        <w:rPr>
          <w:rFonts w:ascii="Times New Roman" w:hAnsi="Times New Roman" w:cs="Times New Roman" w:eastAsia="Times New Roman"/>
          <w:b w:val="0"/>
          <w:i w:val="0"/>
          <w:sz w:val="24"/>
        </w:rPr>
        <w:t>Il blocco enuncia l'ipotesi prevalente nel corpus e ne stabilisce il grado e il falsificatore.</w:t>
      </w:r>
    </w:p>
    <w:p>
      <w:pPr>
        <w:spacing w:line="276" w:lineRule="auto" w:after="120" w:before="0"/>
        <w:ind w:firstLine="425"/>
        <w:jc w:val="both"/>
      </w:pPr>
      <w:r>
        <w:rPr>
          <w:rFonts w:ascii="Times New Roman" w:hAnsi="Times New Roman" w:cs="Times New Roman" w:eastAsia="Times New Roman"/>
          <w:b w:val="0"/>
          <w:i w:val="0"/>
          <w:sz w:val="24"/>
        </w:rPr>
        <w:t>La Commissione parlamentare ha ritenuto persuasiva, qualificandola espressamente come non provata, l'ipotesi che l'indicazione di Gradoli provenisse da ambienti universitari e dall'area dell'Autonomia bolognese, e che il riferimento alla seduta costituisse un modo per proteggere la fonte da ritorsioni. Giulio Andreotti, davanti alla Commissione stragi l'undici aprile millenovecentonovantasette, ha ipotizzato che si trattasse di qualcuno dell'Autonomia operaia bolognese e ha osservato che non si poteva dirlo per non metterlo nei guai. Bettino Craxi ha affermato che le notizie su via Gradoli provennero da ambienti strettamente legati all'organizzazione terroristica, gli stessi che fornirono notizie anche su via Montalcini. Il corpus registra inoltre che Rosario Priore sostiene che la seduta spiritica sia la copertura di una fonte riservata.</w:t>
      </w:r>
    </w:p>
    <w:p>
      <w:pPr>
        <w:spacing w:line="276" w:lineRule="auto" w:after="120" w:before="0"/>
        <w:ind w:firstLine="425"/>
        <w:jc w:val="both"/>
      </w:pPr>
      <w:r>
        <w:rPr>
          <w:rFonts w:ascii="Times New Roman" w:hAnsi="Times New Roman" w:cs="Times New Roman" w:eastAsia="Times New Roman"/>
          <w:b w:val="0"/>
          <w:i w:val="0"/>
          <w:sz w:val="24"/>
        </w:rPr>
        <w:t xml:space="preserve">Il grado dell'esistenza di ciascuna di queste posizioni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dell'ipotesi che esse convergono a sostenere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quattro fonti indipendenti fra loro, di cui una parlamentare, due politiche di vertice contrapposte e una giudiziaria, convergono su una medesima ricostruzione, il che soddisfa il requisito della pluralita ma non quello dell'accertamento diretto, poiche nessuna delle quattro identifica la fonte protetta.</w:t>
      </w:r>
    </w:p>
    <w:p>
      <w:pPr>
        <w:spacing w:line="276" w:lineRule="auto" w:after="120" w:before="0"/>
        <w:ind w:firstLine="425"/>
        <w:jc w:val="both"/>
      </w:pPr>
      <w:r>
        <w:rPr>
          <w:rFonts w:ascii="Times New Roman" w:hAnsi="Times New Roman" w:cs="Times New Roman" w:eastAsia="Times New Roman"/>
          <w:b w:val="0"/>
          <w:i w:val="0"/>
          <w:sz w:val="24"/>
        </w:rPr>
        <w:t>Il falsificatore designato e stato enunciato al blocco sesto e qui si conferma: l'emersione di una testimonianza diretta e riscontrata della fonte, oppure la dimostrazione documentale che nessun canale informativo alternativo fosse disponibile ai partecipanti nel periodo considerato. Nessuno dei due e stato soddisfatto.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eleva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l'ipotesi della copertura di fonte riservata, sulla base della convergenza di quattro fonti reciprocamente indipendenti e politicamente contrapposte, con falsificatore designato e non soddisfatto.</w:t>
      </w:r>
    </w:p>
    <w:p>
      <w:pPr>
        <w:spacing w:line="276" w:lineRule="auto" w:after="160" w:before="240"/>
        <w:jc w:val="left"/>
      </w:pPr>
      <w:r>
        <w:rPr>
          <w:rFonts w:ascii="Times New Roman" w:hAnsi="Times New Roman" w:cs="Times New Roman" w:eastAsia="Times New Roman"/>
          <w:b/>
          <w:i w:val="0"/>
          <w:sz w:val="26"/>
        </w:rPr>
        <w:t>Blocco XLIV — Via Gradoli novantasei: la densita anomala di intestazioni</w:t>
      </w:r>
    </w:p>
    <w:p>
      <w:pPr>
        <w:spacing w:line="276" w:lineRule="auto" w:after="120" w:before="0"/>
        <w:ind w:firstLine="425"/>
        <w:jc w:val="both"/>
      </w:pPr>
      <w:r>
        <w:rPr>
          <w:rFonts w:ascii="Times New Roman" w:hAnsi="Times New Roman" w:cs="Times New Roman" w:eastAsia="Times New Roman"/>
          <w:b w:val="0"/>
          <w:i w:val="0"/>
          <w:sz w:val="24"/>
        </w:rPr>
        <w:t>Il blocco documenta il contesto immobiliare della base brigatista, che costituisce il piu solido fra tutti gli elementi della vicenda e che va tenuto rigorosamente distinto dalla questione della seduta.</w:t>
      </w:r>
    </w:p>
    <w:p>
      <w:pPr>
        <w:spacing w:line="276" w:lineRule="auto" w:after="120" w:before="0"/>
        <w:ind w:firstLine="425"/>
        <w:jc w:val="both"/>
      </w:pPr>
      <w:r>
        <w:rPr>
          <w:rFonts w:ascii="Times New Roman" w:hAnsi="Times New Roman" w:cs="Times New Roman" w:eastAsia="Times New Roman"/>
          <w:b w:val="0"/>
          <w:i w:val="0"/>
          <w:sz w:val="24"/>
        </w:rPr>
        <w:t xml:space="preserve">La Commissione parlamentare registra che nel condominio di via Gradoli novantasei, dove era collocata la base operativa, si trovavano oltre venti appartamenti intestati a societa riconducibili ai servizi e a persone fiduciarie degli stessi, indicando le denominazioni Caseroma, Immobiliare Gradoli e Monte Valle Verde; che l'amministratore dello stabile Domenico Catracchia era fiduciario del servizio civile; che il sindaco dell'Immobiliare Gradoli, Gianfranco Bonori, divenne stretto collaboratore di un funzionario del medesimo servizio; che il commercialista amministratore unico della Monte Valle Verde, intestataria di otto appartamenti dello stabile di cui cinque sullo stesso piano o nel piano sottostante il covo, fu sostituito tre giorni dopo la scoperta.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La Commissione registra altresi due lacune documentali specifiche: dagli archivi del Catasto urbano risulta mancante la documentazione relativa all'appartamento interessato, e dagli archivi del Commissariato di zona risultano scomparsi i documenti relativi alla scoperta del covo del diciotto aprile millenovecentosettantotto.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e si e in presenza di due Stati Zero di natura non istituzionale ma di sottrazione, categoria distinta dalla chiusura archivistica e piu grave di essa.</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infine che il ventotto agosto successivo l'appartamento, ancora sigillato, fu oggetto di introduzione da parte di due persone qualificate ufficialmente come autori di furto in appartamento, in prossimita temporale con il rinvenimento milanese di documentazione proveniente dal sequestro. Il grado del fatto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di ogni inferenza sulla finalita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acquisiscono due Stati Zero da sottrazione documentale, categoricamente distinti dalla chiusura archivistica istituzionale e di gravita superiore, relativi al catasto e agli atti del commissariato.</w:t>
      </w:r>
    </w:p>
    <w:p>
      <w:pPr>
        <w:spacing w:line="276" w:lineRule="auto" w:after="160" w:before="240"/>
        <w:jc w:val="left"/>
      </w:pPr>
      <w:r>
        <w:rPr>
          <w:rFonts w:ascii="Times New Roman" w:hAnsi="Times New Roman" w:cs="Times New Roman" w:eastAsia="Times New Roman"/>
          <w:b/>
          <w:i w:val="0"/>
          <w:sz w:val="26"/>
        </w:rPr>
        <w:t>Blocco XLV — Il rendimento analitico dell'occulto come tecnica di protezione della fonte</w:t>
      </w:r>
    </w:p>
    <w:p>
      <w:pPr>
        <w:spacing w:line="276" w:lineRule="auto" w:after="120" w:before="0"/>
        <w:ind w:firstLine="425"/>
        <w:jc w:val="both"/>
      </w:pPr>
      <w:r>
        <w:rPr>
          <w:rFonts w:ascii="Times New Roman" w:hAnsi="Times New Roman" w:cs="Times New Roman" w:eastAsia="Times New Roman"/>
          <w:b w:val="0"/>
          <w:i w:val="0"/>
          <w:sz w:val="24"/>
        </w:rPr>
        <w:t>Il blocco enuncia la principale acquisizione teorica dell'intera sezione, che deriva dalla comparazione fra i quattro blocchi precedenti.</w:t>
      </w:r>
    </w:p>
    <w:p>
      <w:pPr>
        <w:spacing w:line="276" w:lineRule="auto" w:after="120" w:before="0"/>
        <w:ind w:firstLine="425"/>
        <w:jc w:val="both"/>
      </w:pPr>
      <w:r>
        <w:rPr>
          <w:rFonts w:ascii="Times New Roman" w:hAnsi="Times New Roman" w:cs="Times New Roman" w:eastAsia="Times New Roman"/>
          <w:b w:val="0"/>
          <w:i w:val="0"/>
          <w:sz w:val="24"/>
        </w:rPr>
        <w:t>La vicenda di Zappolino dimostra che un dispositivo esoterico puo funzionare come tecnologia di anonimizzazione della fonte. La sua efficacia non dipende dalla credibilita del dispositivo, ma al contrario dalla sua incredibilita: proprio perche nessuno e tenuto a credere che uno spirito abbia dettato un indirizzo, il riferimento alla seduta consente di trasmettere l'informazione senza trasmettere l'origine, e chi la riceve puo agire su di essa senza dover rispondere della fonte. Il dispositivo produce, in termini di teoria dell'informazione, la separazione fra il messaggio e il suo indirizzo di provenienza.</w:t>
      </w:r>
    </w:p>
    <w:p>
      <w:pPr>
        <w:spacing w:line="276" w:lineRule="auto" w:after="120" w:before="0"/>
        <w:ind w:firstLine="425"/>
        <w:jc w:val="both"/>
      </w:pPr>
      <w:r>
        <w:rPr>
          <w:rFonts w:ascii="Times New Roman" w:hAnsi="Times New Roman" w:cs="Times New Roman" w:eastAsia="Times New Roman"/>
          <w:b w:val="0"/>
          <w:i w:val="0"/>
          <w:sz w:val="24"/>
        </w:rPr>
        <w:t xml:space="preserve">Ne discende un criterio diagnostico generalizzabile, che il registro formula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con espressa qualificazione di ipotesi di lavoro. Ove in un contesto di alta pressione informativa compaia un canale di trasmissione soprannaturale accompagnato da contenuti verificabili e specifici, l'ipotesi da privilegiare non e ne la veridicita del canale ne la casualita del contenuto, bensi la funzione anonimizzante del dispositivo. Il criterio e falsificabile mediante il reperimento di casi in cui il contenuto specifico trasmesso per via soprannaturale risulti privo di qualsiasi fonte umana possibile.</w:t>
      </w:r>
    </w:p>
    <w:p>
      <w:pPr>
        <w:spacing w:line="276" w:lineRule="auto" w:after="120" w:before="0"/>
        <w:ind w:firstLine="425"/>
        <w:jc w:val="both"/>
      </w:pPr>
      <w:r>
        <w:rPr>
          <w:rFonts w:ascii="Times New Roman" w:hAnsi="Times New Roman" w:cs="Times New Roman" w:eastAsia="Times New Roman"/>
          <w:b w:val="0"/>
          <w:i w:val="0"/>
          <w:sz w:val="24"/>
        </w:rPr>
        <w:t>Il criterio ha valore anche in direzione inversa e va enunciato anche cosi: la presenza di un dispositivo esoterico in un contesto operativo non e indizio di irrazionalita degli attori, ma puo essere indizio di sofisticazione, poiche il ricorso a un canale non attribuibile e scelta tecnicamente avvertita e non superstiziosa.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il criterio diagnostico del dispositivo esoterico come tecnologia di anonimizzazione della fonte, la cui efficacia deriva dalla propria incredibilita, con falsificatore designato e valenza bidirezionale.</w:t>
      </w:r>
    </w:p>
    <w:p>
      <w:pPr>
        <w:spacing w:line="276" w:lineRule="auto" w:after="160" w:before="240"/>
        <w:jc w:val="left"/>
      </w:pPr>
      <w:r>
        <w:rPr>
          <w:rFonts w:ascii="Times New Roman" w:hAnsi="Times New Roman" w:cs="Times New Roman" w:eastAsia="Times New Roman"/>
          <w:b/>
          <w:i w:val="0"/>
          <w:sz w:val="26"/>
        </w:rPr>
        <w:t>Blocco XLVI — Il satanismo come categoria criminologica: distinzioni preliminari</w:t>
      </w:r>
    </w:p>
    <w:p>
      <w:pPr>
        <w:spacing w:line="276" w:lineRule="auto" w:after="120" w:before="0"/>
        <w:ind w:firstLine="425"/>
        <w:jc w:val="both"/>
      </w:pPr>
      <w:r>
        <w:rPr>
          <w:rFonts w:ascii="Times New Roman" w:hAnsi="Times New Roman" w:cs="Times New Roman" w:eastAsia="Times New Roman"/>
          <w:b w:val="0"/>
          <w:i w:val="0"/>
          <w:sz w:val="24"/>
        </w:rPr>
        <w:t>Il registro affronta il campo del satanismo stabilendo anzitutto che la categoria, allo stato della letteratura criminologica, non designa un oggetto unitario, e che il suo trattamento come oggetto unitario e la fonte principale degli errori accumulati in materia.</w:t>
      </w:r>
    </w:p>
    <w:p>
      <w:pPr>
        <w:spacing w:line="276" w:lineRule="auto" w:after="120" w:before="0"/>
        <w:ind w:firstLine="425"/>
        <w:jc w:val="both"/>
      </w:pPr>
      <w:r>
        <w:rPr>
          <w:rFonts w:ascii="Times New Roman" w:hAnsi="Times New Roman" w:cs="Times New Roman" w:eastAsia="Times New Roman"/>
          <w:b w:val="0"/>
          <w:i w:val="0"/>
          <w:sz w:val="24"/>
        </w:rPr>
        <w:t>Vanno distinti almeno tre oggetti. Il primo e costituito dalle organizzazioni dichiaratamente sataniste di tipo razionalista, che professano una dottrina antiteista simbolica, operano pubblicamente e non presentano in quanto tali profilo criminale. Il secondo e costituito da gruppi ristretti, di formazione locale e giovanile, in cui un lessico satanico si combina con abuso di sostanze e violenza, e nei quali il contenuto dottrinale e tipicamente povero, derivato da fonti di consumo e successivo alla formazione del gruppo anziche fondativo di esso. Il terzo e costituito dal panico satanico, cioe dal fenomeno collettivo di attribuzione di reti sataniche organizzate, ampiamente documentato nella letteratura internazionale come dinamica autonoma dai fatti che pretende di descrivere.</w:t>
      </w:r>
    </w:p>
    <w:p>
      <w:pPr>
        <w:spacing w:line="276" w:lineRule="auto" w:after="120" w:before="0"/>
        <w:ind w:firstLine="425"/>
        <w:jc w:val="both"/>
      </w:pPr>
      <w:r>
        <w:rPr>
          <w:rFonts w:ascii="Times New Roman" w:hAnsi="Times New Roman" w:cs="Times New Roman" w:eastAsia="Times New Roman"/>
          <w:b w:val="0"/>
          <w:i w:val="0"/>
          <w:sz w:val="24"/>
        </w:rPr>
        <w:t xml:space="preserve">La distinzione ha conseguenze probatorie immediate. Il primo oggetto e documentabile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all'esistenza e non rileva per il registro in assenza di condotte. Il secondo e documentabile con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ove vi siano accertamenti giudiziari, e rileva come criminalita comune con marcatore ideologico. Il terzo non e un oggetto criminale bensi un oggetto sociale, e va trattato come tale, cioe studiando chi produce l'attribuzione e non chi ne e destinatario.</w:t>
      </w:r>
    </w:p>
    <w:p>
      <w:pPr>
        <w:spacing w:line="276" w:lineRule="auto" w:after="120" w:before="0"/>
        <w:ind w:firstLine="425"/>
        <w:jc w:val="both"/>
      </w:pPr>
      <w:r>
        <w:rPr>
          <w:rFonts w:ascii="Times New Roman" w:hAnsi="Times New Roman" w:cs="Times New Roman" w:eastAsia="Times New Roman"/>
          <w:b w:val="0"/>
          <w:i w:val="0"/>
          <w:sz w:val="24"/>
        </w:rPr>
        <w:t>Il registro stabilisce che la confusione fra il secondo e il terzo oggetto costituisce la modalita tipica di produzione dell'errore giudiziario in questo campo, e che essa va trattata con la disciplina generale sui depistaggi e sulle attribuzioni non riscontrate.</w:t>
      </w:r>
    </w:p>
    <w:p>
      <w:pPr>
        <w:spacing w:line="276" w:lineRule="auto" w:after="240" w:before="0"/>
        <w:ind w:firstLine="425"/>
        <w:jc w:val="both"/>
      </w:pPr>
      <w:r>
        <w:rPr>
          <w:rFonts w:ascii="Times New Roman" w:hAnsi="Times New Roman" w:cs="Times New Roman" w:eastAsia="Times New Roman"/>
          <w:b w:val="0"/>
          <w:i/>
          <w:sz w:val="22"/>
        </w:rPr>
        <w:t>Sintesi del dato nuovo acquisito: si scompone la categoria unitaria del satanismo in tre oggetti distinti con gradi probatori e statuti analitici diversi, e si identifica la confusione fra il secondo e il terzo come modalita tipica di produzione dell'errore in materia.</w:t>
      </w:r>
    </w:p>
    <w:p>
      <w:pPr>
        <w:spacing w:line="276" w:lineRule="auto" w:after="160" w:before="240"/>
        <w:jc w:val="left"/>
      </w:pPr>
      <w:r>
        <w:rPr>
          <w:rFonts w:ascii="Times New Roman" w:hAnsi="Times New Roman" w:cs="Times New Roman" w:eastAsia="Times New Roman"/>
          <w:b/>
          <w:i w:val="0"/>
          <w:sz w:val="26"/>
        </w:rPr>
        <w:t>Blocco XLVII — Il caso Bambini di Satana e il costo istituzionale dell'attribuzione</w:t>
      </w:r>
    </w:p>
    <w:p>
      <w:pPr>
        <w:spacing w:line="276" w:lineRule="auto" w:after="120" w:before="0"/>
        <w:ind w:firstLine="425"/>
        <w:jc w:val="both"/>
      </w:pPr>
      <w:r>
        <w:rPr>
          <w:rFonts w:ascii="Times New Roman" w:hAnsi="Times New Roman" w:cs="Times New Roman" w:eastAsia="Times New Roman"/>
          <w:b w:val="0"/>
          <w:i w:val="0"/>
          <w:sz w:val="24"/>
        </w:rPr>
        <w:t>Il registro tratta il caso applicando integralmente la disciplina sulle persone e registrandone l'esito, che e l'unico elemento probatoriamente rilevante.</w:t>
      </w:r>
    </w:p>
    <w:p>
      <w:pPr>
        <w:spacing w:line="276" w:lineRule="auto" w:after="120" w:before="0"/>
        <w:ind w:firstLine="425"/>
        <w:jc w:val="both"/>
      </w:pPr>
      <w:r>
        <w:rPr>
          <w:rFonts w:ascii="Times New Roman" w:hAnsi="Times New Roman" w:cs="Times New Roman" w:eastAsia="Times New Roman"/>
          <w:b w:val="0"/>
          <w:i w:val="0"/>
          <w:sz w:val="24"/>
        </w:rPr>
        <w:t xml:space="preserve">Nella meta degli anni Novanta un'associazione bolognese denominata Bambini di Satana e il suo fondatore furono oggetto di procedimento penale a seguito di attribuzioni relative ad abusi in contesto rituale. Il procedimento si concluse con esiti assolutori, e le attribuzioni non trovarono riscontro. Il grado dell'esito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trattandosi di accertamento giurisdizionale.</w:t>
      </w:r>
    </w:p>
    <w:p>
      <w:pPr>
        <w:spacing w:line="276" w:lineRule="auto" w:after="120" w:before="0"/>
        <w:ind w:firstLine="425"/>
        <w:jc w:val="both"/>
      </w:pPr>
      <w:r>
        <w:rPr>
          <w:rFonts w:ascii="Times New Roman" w:hAnsi="Times New Roman" w:cs="Times New Roman" w:eastAsia="Times New Roman"/>
          <w:b w:val="0"/>
          <w:i w:val="0"/>
          <w:sz w:val="24"/>
        </w:rPr>
        <w:t>Il registro enuncia con nettezza la conseguenza. Dove interviene un'assoluzione, il registro registra l'assoluzione, e ogni ulteriore trattazione del caso in chiave attributiva sarebbe violazione della Regola di Ferro e della disciplina sulle persone. Il caso entra nel registro non come caso di satanismo criminale, ma come caso documentato di attribuzione non riscontrata, e appartiene percio al terzo dei tre oggetti distinti al blocco precedente.</w:t>
      </w:r>
    </w:p>
    <w:p>
      <w:pPr>
        <w:spacing w:line="276" w:lineRule="auto" w:after="120" w:before="0"/>
        <w:ind w:firstLine="425"/>
        <w:jc w:val="both"/>
      </w:pPr>
      <w:r>
        <w:rPr>
          <w:rFonts w:ascii="Times New Roman" w:hAnsi="Times New Roman" w:cs="Times New Roman" w:eastAsia="Times New Roman"/>
          <w:b w:val="0"/>
          <w:i w:val="0"/>
          <w:sz w:val="24"/>
        </w:rPr>
        <w:t>Il rendimento analitico e considerevole e va enunciato. Il caso documenta che un apparato investigativo puo assumere come ipotesi di lavoro una struttura organizzativa la cui esistenza non e stata previamente accertata, e che l'ipotesi puo autoalimentarsi attraverso la ricerca di conferme anziche attraverso il tentativo di falsificazione. Si tratta della manifestazione giudiziaria del Pollo di Popper, e il caso e iscritto nel registro come esemplare designato di tale meccanismo nel campo religioso.</w:t>
      </w:r>
    </w:p>
    <w:p>
      <w:pPr>
        <w:spacing w:line="276" w:lineRule="auto" w:after="240" w:before="0"/>
        <w:ind w:firstLine="425"/>
        <w:jc w:val="both"/>
      </w:pPr>
      <w:r>
        <w:rPr>
          <w:rFonts w:ascii="Times New Roman" w:hAnsi="Times New Roman" w:cs="Times New Roman" w:eastAsia="Times New Roman"/>
          <w:b w:val="0"/>
          <w:i/>
          <w:sz w:val="22"/>
        </w:rPr>
        <w:t>Sintesi del dato nuovo acquisito: si iscrive il caso come esemplare designato della manifestazione giudiziaria del meccanismo del Pollo di Popper, cioe dell'assunzione di una struttura non previamente accertata come ipotesi di lavoro autoconfermativa.</w:t>
      </w:r>
    </w:p>
    <w:p>
      <w:pPr>
        <w:spacing w:line="276" w:lineRule="auto" w:after="160" w:before="240"/>
        <w:jc w:val="left"/>
      </w:pPr>
      <w:r>
        <w:rPr>
          <w:rFonts w:ascii="Times New Roman" w:hAnsi="Times New Roman" w:cs="Times New Roman" w:eastAsia="Times New Roman"/>
          <w:b/>
          <w:i w:val="0"/>
          <w:sz w:val="26"/>
        </w:rPr>
        <w:t>Blocco XLVIII — Ludwig e le Bestie di Satana: la teologia autoattribuita</w:t>
      </w:r>
    </w:p>
    <w:p>
      <w:pPr>
        <w:spacing w:line="276" w:lineRule="auto" w:after="120" w:before="0"/>
        <w:ind w:firstLine="425"/>
        <w:jc w:val="both"/>
      </w:pPr>
      <w:r>
        <w:rPr>
          <w:rFonts w:ascii="Times New Roman" w:hAnsi="Times New Roman" w:cs="Times New Roman" w:eastAsia="Times New Roman"/>
          <w:b w:val="0"/>
          <w:i w:val="0"/>
          <w:sz w:val="24"/>
        </w:rPr>
        <w:t>Il registro tratta congiuntamente due vicende distinte per cronologia e struttura, accomunate da un unico tratto analiticamente rilevante.</w:t>
      </w:r>
    </w:p>
    <w:p>
      <w:pPr>
        <w:spacing w:line="276" w:lineRule="auto" w:after="120" w:before="0"/>
        <w:ind w:firstLine="425"/>
        <w:jc w:val="both"/>
      </w:pPr>
      <w:r>
        <w:rPr>
          <w:rFonts w:ascii="Times New Roman" w:hAnsi="Times New Roman" w:cs="Times New Roman" w:eastAsia="Times New Roman"/>
          <w:b w:val="0"/>
          <w:i w:val="0"/>
          <w:sz w:val="24"/>
        </w:rPr>
        <w:t xml:space="preserve">La sigla Ludwig rivendico fra la fine degli anni Settanta e la meta degli anni Ottanta una serie di omicidi commessi nel Nord Italia, accompagnandoli con documenti di rivendicazione redatti in un lessico di purificazione e di condanna, e le responsabilita individuali furono accertate in sede giudiziaria. Il gruppo denominato Bestie di Satana fu oggetto di accertamento giudiziario nei primi anni Duemila per fatti di sangue commessi in ambito varesotto, con condanne definitive. Il grado degli accertamenti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tratto comune non e dottrinale ma retorico e va enunciato con precisione. In entrambi i casi il contenuto religioso e autoattribuito dagli autori nel momento della rivendicazione o della ricostruzione, e non risulta anteriore alla formazione del gruppo ne strutturante rispetto ad esso. La dottrina non e la causa che produce il gruppo: e il linguaggio con cui il gruppo, gia costituito su altre basi, si descrive.</w:t>
      </w:r>
    </w:p>
    <w:p>
      <w:pPr>
        <w:spacing w:line="276" w:lineRule="auto" w:after="120" w:before="0"/>
        <w:ind w:firstLine="425"/>
        <w:jc w:val="both"/>
      </w:pPr>
      <w:r>
        <w:rPr>
          <w:rFonts w:ascii="Times New Roman" w:hAnsi="Times New Roman" w:cs="Times New Roman" w:eastAsia="Times New Roman"/>
          <w:b w:val="0"/>
          <w:i w:val="0"/>
          <w:sz w:val="24"/>
        </w:rPr>
        <w:t>La distinzione fra dottrina costitutiva e dottrina autoattributiva e formalizzata qui e ha portata generale nel registro. Essa fornisce un criterio per discriminare i casi in cui l'analisi ideologica ha rendimento esplicativo dai casi in cui essa non ne ha alcuno, e va applicata retroattivamente a tutte le sezioni. Nei casi in esame la dottrina non ha rendimento esplicativo e l'analisi va condotta con gli strumenti ordinari della criminologia dei gruppi ristretti.</w:t>
      </w:r>
    </w:p>
    <w:p>
      <w:pPr>
        <w:spacing w:line="276" w:lineRule="auto" w:after="240" w:before="0"/>
        <w:ind w:firstLine="425"/>
        <w:jc w:val="both"/>
      </w:pPr>
      <w:r>
        <w:rPr>
          <w:rFonts w:ascii="Times New Roman" w:hAnsi="Times New Roman" w:cs="Times New Roman" w:eastAsia="Times New Roman"/>
          <w:b w:val="0"/>
          <w:i/>
          <w:sz w:val="22"/>
        </w:rPr>
        <w:t>Sintesi del dato nuovo acquisito: si formalizza la distinzione fra dottrina costitutiva e dottrina autoattributiva quale criterio generale per stabilire se l'analisi ideologica di una struttura abbia o non abbia rendimento esplicativo.</w:t>
      </w:r>
    </w:p>
    <w:p>
      <w:pPr>
        <w:spacing w:line="276" w:lineRule="auto" w:after="160" w:before="240"/>
        <w:jc w:val="left"/>
      </w:pPr>
      <w:r>
        <w:rPr>
          <w:rFonts w:ascii="Times New Roman" w:hAnsi="Times New Roman" w:cs="Times New Roman" w:eastAsia="Times New Roman"/>
          <w:b/>
          <w:i w:val="0"/>
          <w:sz w:val="26"/>
        </w:rPr>
        <w:t>Blocco XLIX — Stato Zero: l'assenza di rete satanica strutturata nel corpus</w:t>
      </w:r>
    </w:p>
    <w:p>
      <w:pPr>
        <w:spacing w:line="276" w:lineRule="auto" w:after="120" w:before="0"/>
        <w:ind w:firstLine="425"/>
        <w:jc w:val="both"/>
      </w:pPr>
      <w:r>
        <w:rPr>
          <w:rFonts w:ascii="Times New Roman" w:hAnsi="Times New Roman" w:cs="Times New Roman" w:eastAsia="Times New Roman"/>
          <w:b w:val="0"/>
          <w:i w:val="0"/>
          <w:sz w:val="24"/>
        </w:rPr>
        <w:t>Il registro procede alla dichiarazione formale di un'assenza, in applicazione del principio secondo cui il risultato negativo e finding di pari dignita rispetto al risultato positivo.</w:t>
      </w:r>
    </w:p>
    <w:p>
      <w:pPr>
        <w:spacing w:line="276" w:lineRule="auto" w:after="120" w:before="0"/>
        <w:ind w:firstLine="425"/>
        <w:jc w:val="both"/>
      </w:pPr>
      <w:r>
        <w:rPr>
          <w:rFonts w:ascii="Times New Roman" w:hAnsi="Times New Roman" w:cs="Times New Roman" w:eastAsia="Times New Roman"/>
          <w:b w:val="0"/>
          <w:i w:val="0"/>
          <w:sz w:val="24"/>
        </w:rPr>
        <w:t>Sottoposto il corpus a interrogazione sistematica, non risulta documentata alcuna struttura satanica organizzata dotata di continuita, gerarchia interna e capacita operativa transregionale, ne risultano archi documentati che colleghino tale struttura ai domini della criminalita organizzata, dell'intelligence o della politica. Le occorrenze reperibili si riconducono integralmente al secondo e al terzo dei tre oggetti distinti in precedenza, cioe a gruppi ristretti a base locale e a fenomeni di attribuzione non riscontrata.</w:t>
      </w:r>
    </w:p>
    <w:p>
      <w:pPr>
        <w:spacing w:line="276" w:lineRule="auto" w:after="120" w:before="0"/>
        <w:ind w:firstLine="425"/>
        <w:jc w:val="both"/>
      </w:pPr>
      <w:r>
        <w:rPr>
          <w:rFonts w:ascii="Times New Roman" w:hAnsi="Times New Roman" w:cs="Times New Roman" w:eastAsia="Times New Roman"/>
          <w:b w:val="0"/>
          <w:i w:val="0"/>
          <w:sz w:val="24"/>
        </w:rPr>
        <w:t>L'assenza va qualificata secondo la Scala degli Stati Zero. Non si tratta di impossibilita istituzionale, poiche non esiste un archivio chiuso il cui accesso muterebbe il risultato; non si tratta di non reperimento per limite della ricerca, poiche la letteratura criminologica internazionale sul punto e ampia e converge; si tratta di assenza verificata, cioe della categoria in cui l'oggetto cercato risulta non esistente e non semplicemente non trovato. E il grado piu elevato di accertamento negativo previsto dalla scala.</w:t>
      </w:r>
    </w:p>
    <w:p>
      <w:pPr>
        <w:spacing w:line="276" w:lineRule="auto" w:after="120" w:before="0"/>
        <w:ind w:firstLine="425"/>
        <w:jc w:val="both"/>
      </w:pPr>
      <w:r>
        <w:rPr>
          <w:rFonts w:ascii="Times New Roman" w:hAnsi="Times New Roman" w:cs="Times New Roman" w:eastAsia="Times New Roman"/>
          <w:b w:val="0"/>
          <w:i w:val="0"/>
          <w:sz w:val="24"/>
        </w:rPr>
        <w:t>Il registro enuncia inoltre la conseguenza sull'economia generale della sezione. Il campo del satanismo, che nella pubblicistica occupa uno spazio sproporzionato, risulta all'esame documentale il meno produttivo dell'intera sezione, mentre il campo del tradizionalismo, che nella pubblicistica occupa uno spazio minore, risulta il piu produttivo. L'inversione fra rilievo pubblicistico e rendimento documentale e essa stessa un dato e va registrata.</w:t>
      </w:r>
    </w:p>
    <w:p>
      <w:pPr>
        <w:spacing w:line="276" w:lineRule="auto" w:after="240" w:before="0"/>
        <w:ind w:firstLine="425"/>
        <w:jc w:val="both"/>
      </w:pPr>
      <w:r>
        <w:rPr>
          <w:rFonts w:ascii="Times New Roman" w:hAnsi="Times New Roman" w:cs="Times New Roman" w:eastAsia="Times New Roman"/>
          <w:b w:val="0"/>
          <w:i/>
          <w:sz w:val="22"/>
        </w:rPr>
        <w:t>Sintesi del dato nuovo acquisito: si dichiara formalmente l'assenza verificata di una rete satanica strutturata nel corpus, al grado massimo di accertamento negativo previsto dalla scala, e si registra l'inversione fra rilievo pubblicistico e rendimento documentale fra campo satanico e campo tradizionalista.</w:t>
      </w:r>
    </w:p>
    <w:p>
      <w:pPr>
        <w:spacing w:line="276" w:lineRule="auto" w:after="160" w:before="240"/>
        <w:jc w:val="left"/>
      </w:pPr>
      <w:r>
        <w:rPr>
          <w:rFonts w:ascii="Times New Roman" w:hAnsi="Times New Roman" w:cs="Times New Roman" w:eastAsia="Times New Roman"/>
          <w:b/>
          <w:i w:val="0"/>
          <w:sz w:val="26"/>
        </w:rPr>
        <w:t>Blocco L — Bilancio della sezione, ipotesi concorrenti e iscrizioni nella Tavola Unica</w:t>
      </w:r>
    </w:p>
    <w:p>
      <w:pPr>
        <w:spacing w:line="276" w:lineRule="auto" w:after="120" w:before="0"/>
        <w:ind w:firstLine="425"/>
        <w:jc w:val="both"/>
      </w:pPr>
      <w:r>
        <w:rPr>
          <w:rFonts w:ascii="Times New Roman" w:hAnsi="Times New Roman" w:cs="Times New Roman" w:eastAsia="Times New Roman"/>
          <w:b w:val="0"/>
          <w:i w:val="0"/>
          <w:sz w:val="24"/>
        </w:rPr>
        <w:t>La sezione ha prodotto acquisizioni che vanno ordinate secondo il loro rendimento e non secondo l'ordine di esposizione, in conformita al principio che distingue l'ordine di esposizione dall'ordine di prova.</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positive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si collocano: la prova documentale della continuita fra corpus metafisico e manualistica di guerra non ortodossa nei programmi di formazione dei quadri; la dottrina evoliana della rete capillare a difesa dello Stato vuoto quale fondamento della compatibilita fra eversione e apparati; la coesistenza di cooperazione operativa e incompatibilita dottrinale radicale fra cattolicesimo integralista ed evolianesimo; la funzione della filiera tradizionalista come canale dottrinale della convergenza eurasiatista; i fatti materiali della seduta del due aprile e la densita anomala di intestazioni di via Gradoli con i due Stati Zero da sottrazione.</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negative, di rango pari alle precedenti, si collocano: l'assenza della dottrina tradizionalista dalla catena di mandato accertata per la strage del due agosto millenovecentottanta; la confutazione della derivazione organica di Terza Posizione da Aginter per incompatibilita cronologica; la confutazione dell'inferenza simbolica dal toponimo londinese; il declassamento a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dell'affermazione sulla protezione britannica per collasso della catena di fonti; e l'assenza verificata di rete satanica strutturata.</w:t>
      </w:r>
    </w:p>
    <w:p>
      <w:pPr>
        <w:spacing w:line="276" w:lineRule="auto" w:after="120" w:before="0"/>
        <w:ind w:firstLine="425"/>
        <w:jc w:val="both"/>
      </w:pPr>
      <w:r>
        <w:rPr>
          <w:rFonts w:ascii="Times New Roman" w:hAnsi="Times New Roman" w:cs="Times New Roman" w:eastAsia="Times New Roman"/>
          <w:b w:val="0"/>
          <w:i w:val="0"/>
          <w:sz w:val="24"/>
        </w:rPr>
        <w:t>Fra le acquisizioni teoriche si collocano la doppia oggettualita probatoria, la distinzione fra nodo per condotta e nodo per ricezione, la distinzione fra qualita della sorgente e qualita del conduttore, la distinzione fra dottrina costitutiva e dottrina autoattributiva, la distinzione fra santuario di fatto e di diritto e il criterio del dispositivo esoterico come tecnologia di anonimizzazione.</w:t>
      </w:r>
    </w:p>
    <w:p>
      <w:pPr>
        <w:spacing w:line="276" w:lineRule="auto" w:after="120" w:before="0"/>
        <w:ind w:firstLine="425"/>
        <w:jc w:val="both"/>
      </w:pPr>
      <w:r>
        <w:rPr>
          <w:rFonts w:ascii="Times New Roman" w:hAnsi="Times New Roman" w:cs="Times New Roman" w:eastAsia="Times New Roman"/>
          <w:b w:val="0"/>
          <w:i w:val="0"/>
          <w:sz w:val="24"/>
        </w:rPr>
        <w:t>Si iscrivono nella Tavola Unica ordinata per rimediabilita, in ordine decrescente di priorita: la provenienza dei fondi del riscatto, con sede archivistica determinata e condizione di apertura enunciabile; il calcolo probabilistico sulla specificita dell'indicazione toponomastica; il censimento comparativo delle durate dei santuari; il test quantitativo sull'isomorfismo delle strutture a costituzione religiosa; la comparazione della produzione documentale delle strutture ospitate in ambienti a fondamento teologico congruente e non congruente.</w:t>
      </w:r>
    </w:p>
    <w:p>
      <w:pPr>
        <w:spacing w:line="276" w:lineRule="auto" w:after="120" w:before="0"/>
        <w:ind w:firstLine="425"/>
        <w:jc w:val="both"/>
      </w:pPr>
      <w:r>
        <w:rPr>
          <w:rFonts w:ascii="Times New Roman" w:hAnsi="Times New Roman" w:cs="Times New Roman" w:eastAsia="Times New Roman"/>
          <w:b w:val="0"/>
          <w:i w:val="0"/>
          <w:sz w:val="24"/>
        </w:rPr>
        <w:t>Si conferma infine che nessun blocco della sezione fonda o corrobora l'ipotesi macro della convergenza deliberata contro l'integrazione europea, che resta nello stato in cui il registro l'ha collocata; e si conferma che la sezione non introduce alcuna radice genealogica non documentata, in conformita al divieto di contaminazione a ritroso del grafo.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ordina il bilancio della sezione in cinque acquisizioni positive di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cinque acquisizioni negative di pari rango, sei acquisizioni teoriche e cinque iscrizioni nella Tavola Unica ordinate per rimediabilita, con conferma della neutralita della sezione rispetto all'ipotesi macro.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