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Il sei agosto duemilaventisei sono stati forniti sedici documenti, in formato PDF e Word, da acquisire, documentare, verificare e certificare. Questa scheda certifica ciò che è stato effettivamente compiuto — l'acquisizione e l'estrazione integrale del testo — e dichiara con altrettanta precisione ciò che non è stato compiuto e resta da fare, perché la regola del metodo impone di non dichiarare verificato ciò che non lo è. Il prospetto puntuale, documento per documento, con natura, collocazione, conteggio delle parole, apparato di collegamenti, impronta del testo e verdetto, è nel file di servizio che accompagna questa scheda.</w:t>
      </w:r>
    </w:p>
    <w:p>
      <w:pPr>
        <w:spacing w:line="276" w:lineRule="auto" w:before="0" w:after="0"/>
        <w:ind w:firstLine="425"/>
        <w:jc w:val="both"/>
      </w:pPr>
      <w:r>
        <w:rPr>
          <w:rFonts w:ascii="Times New Roman" w:hAnsi="Times New Roman" w:cs="Times New Roman" w:eastAsia="Times New Roman"/>
          <w:b/>
          <w:sz w:val="24"/>
        </w:rPr>
        <w:t>Che cosa è stato acquisito.</w:t>
      </w:r>
      <w:r>
        <w:rPr>
          <w:rFonts w:ascii="Times New Roman" w:hAnsi="Times New Roman" w:cs="Times New Roman" w:eastAsia="Times New Roman"/>
          <w:b w:val="0"/>
          <w:sz w:val="24"/>
        </w:rPr>
        <w:t xml:space="preserve"> I sedici file sono stati aperti ed estratti integralmente nel loro testo, con biblioteca dedicata per i documenti a stampa e per quelli di videoscrittura, e ne è stato conservato uno strato di testo cercabile accanto agli originali. Di essi, due sono risultati byte per byte identici — le due copie della diaspora nazista in Sud America —, sicché i documenti distinti sono quindici; la copia ripetuta è stata riconosciuta dall'impronta del testo e non duplicata su disco, ma registrata come tale. Gli originali sono stati collocati secondo la loro natura: dieci fra monografie di ricerca e compendi di progetto — la criminalità organizzata russa, la diaspora nazionalsocialista postbellica, l'arsenale della Banda della Magliana, le reti stay-behind tedesche fra servizio federale e alleanza atlantica, i Lupi Grigi e lo Stato profondo turco, la rete nazista in Spagna e Portogallo, la diaspora nazista in Sud America, gli specialisti del Terzo Reich in Unione Sovietica, le infiltrazioni naziste nel complesso militare-industriale statunitense e il compendio delle operazioni antimafia — sono stati posti fra i documenti dell'opera; cinque fra articoli di terzi e compilazioni di dati grezzi — l'articolo su Città del Capo, l'articolo sui rifugi sudamericani, le biografie della famiglia Genovese, il network finanziario sudafricano e l'elenco nominativo dei nazisti negli Stati Uniti — sono stati posti fra le fonti acquisite da terzi. L'estrazione di ciascuno è integra: ogni file è stato riaperto senza errori. </w:t>
      </w:r>
      <w:r>
        <w:rPr>
          <w:rFonts w:ascii="Times New Roman" w:hAnsi="Times New Roman" w:cs="Times New Roman" w:eastAsia="Times New Roman"/>
          <w:b/>
          <w:sz w:val="24"/>
        </w:rPr>
        <w:t>Su questo si rilascia certificazione piena: acquisizione e integrità dell'estrazione, Livello A.</w:t>
      </w:r>
    </w:p>
    <w:p>
      <w:pPr>
        <w:spacing w:line="276" w:lineRule="auto" w:before="0" w:after="0"/>
        <w:ind w:firstLine="425"/>
        <w:jc w:val="both"/>
      </w:pPr>
      <w:r>
        <w:rPr>
          <w:rFonts w:ascii="Times New Roman" w:hAnsi="Times New Roman" w:cs="Times New Roman" w:eastAsia="Times New Roman"/>
          <w:b/>
          <w:sz w:val="24"/>
        </w:rPr>
        <w:t>Che cosa non è stato ancora verificato, e va dichiarato.</w:t>
      </w:r>
      <w:r>
        <w:rPr>
          <w:rFonts w:ascii="Times New Roman" w:hAnsi="Times New Roman" w:cs="Times New Roman" w:eastAsia="Times New Roman"/>
          <w:b w:val="0"/>
          <w:sz w:val="24"/>
        </w:rPr>
        <w:t xml:space="preserve"> La certificazione qui rilasciata riguarda l'acquisizione, non la verità dei contenuti. Nessuna delle affermazioni contenute nei quindici documenti è stata sottoposta al protocollo di verifica del repertorio, che richiede il vaglio delle fonti voce per voce e l'attribuzione dei gradi probatori: quel lavoro è una campagna a sé, da condurre documento per documento, e non è compreso in questa acquisizione. Dichiararli verificati sarebbe falso.</w:t>
      </w:r>
    </w:p>
    <w:p>
      <w:pPr>
        <w:spacing w:line="276" w:lineRule="auto" w:before="0" w:after="0"/>
        <w:ind w:firstLine="425"/>
        <w:jc w:val="both"/>
      </w:pPr>
      <w:r>
        <w:rPr>
          <w:rFonts w:ascii="Times New Roman" w:hAnsi="Times New Roman" w:cs="Times New Roman" w:eastAsia="Times New Roman"/>
          <w:b/>
          <w:sz w:val="24"/>
        </w:rPr>
        <w:t>Due fragilità strutturali accertate in fase di acquisizione.</w:t>
      </w:r>
      <w:r>
        <w:rPr>
          <w:rFonts w:ascii="Times New Roman" w:hAnsi="Times New Roman" w:cs="Times New Roman" w:eastAsia="Times New Roman"/>
          <w:b w:val="0"/>
          <w:sz w:val="24"/>
        </w:rPr>
        <w:t xml:space="preserve"> La prima riguarda l'apparato probatorio interno: a differenza delle monografie fornite in precedenza, nessuno dei quindici documenti reca al proprio interno la gradazione del metodo, cioè le marche esplicite del grado probatorio accanto alle singole affermazioni </w:t>
      </w:r>
      <w:r>
        <w:rPr>
          <w:rFonts w:ascii="Times New Roman" w:hAnsi="Times New Roman" w:cs="Times New Roman" w:eastAsia="Times New Roman"/>
          <w:b/>
          <w:sz w:val="24"/>
        </w:rPr>
        <w:t>(Livello A, riscontro meccanico su tutti e quindici)</w:t>
      </w:r>
      <w:r>
        <w:rPr>
          <w:rFonts w:ascii="Times New Roman" w:hAnsi="Times New Roman" w:cs="Times New Roman" w:eastAsia="Times New Roman"/>
          <w:b w:val="0"/>
          <w:sz w:val="24"/>
        </w:rPr>
        <w:t xml:space="preserve">. Ne consegue che il loro contenuto va trattato, fino a verifica, come materiale non graduato, da non trasfondere nell'opera senza il passaggio del protocollo. La seconda riguarda l'apparato delle fonti esterne: sei dei quindici documenti non recano alcun collegamento a fonti — sono le tre compilazioni di dati grezzi e i due articoli di terzi, oltre a una nota breve —, e sono perciò i meno verificabili per via documentale, da maneggiare con la massima cautela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Gli altri nove recano un apparato di collegamenti, in alcuni casi cospicuo, che alimenta il censimento generale degli URL.</w:t>
      </w:r>
    </w:p>
    <w:p>
      <w:pPr>
        <w:spacing w:line="276" w:lineRule="auto" w:before="0" w:after="0"/>
        <w:ind w:firstLine="425"/>
        <w:jc w:val="both"/>
      </w:pPr>
      <w:r>
        <w:rPr>
          <w:rFonts w:ascii="Times New Roman" w:hAnsi="Times New Roman" w:cs="Times New Roman" w:eastAsia="Times New Roman"/>
          <w:b/>
          <w:sz w:val="24"/>
        </w:rPr>
        <w:t>Effetto sul censimento degli URL.</w:t>
      </w:r>
      <w:r>
        <w:rPr>
          <w:rFonts w:ascii="Times New Roman" w:hAnsi="Times New Roman" w:cs="Times New Roman" w:eastAsia="Times New Roman"/>
          <w:b w:val="0"/>
          <w:sz w:val="24"/>
        </w:rPr>
        <w:t xml:space="preserve"> L'estrazione ha riversato i collegamenti dei nuovi documenti nel censimento generale, che sale così a oltre duemilacento URL distinti su più di mille domini, con una quota di grado non superiore al Livello C — enciclopedie collaborative e siti di parte — pari a circa un quarto del totale, fragilità già dichiarata e qui confermata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Il controllo di vitalità dei collegamenti resta non eseguibile in questo ambiente per la politica di uscita in rete, e gli URL restano marcati come non controllati, non come morti.</w:t>
      </w:r>
    </w:p>
    <w:p>
      <w:pPr>
        <w:spacing w:line="276" w:lineRule="auto" w:before="0" w:after="0"/>
        <w:ind w:firstLine="425"/>
        <w:jc w:val="both"/>
      </w:pPr>
      <w:r>
        <w:rPr>
          <w:rFonts w:ascii="Times New Roman" w:hAnsi="Times New Roman" w:cs="Times New Roman" w:eastAsia="Times New Roman"/>
          <w:b/>
          <w:sz w:val="24"/>
        </w:rPr>
        <w:t>Conclusione e coda operativa.</w:t>
      </w:r>
      <w:r>
        <w:rPr>
          <w:rFonts w:ascii="Times New Roman" w:hAnsi="Times New Roman" w:cs="Times New Roman" w:eastAsia="Times New Roman"/>
          <w:b w:val="0"/>
          <w:sz w:val="24"/>
        </w:rPr>
        <w:t xml:space="preserve"> Si certifica dunque che i sedici documenti sono stati acquisiti ed estratti integralmente, che i distinti sono quindici, che la loro collocazione rispetta la natura di ciascuno e che l'estrazione è integra. Non si certifica la verità dei loro contenuti, che resta da accertare. La coda operativa naturale è la verifica documento per documento secondo il protocollo del repertorio, muovendo dalle monografie meglio corredate di fonti — quelle sull'Unione Sovietica, sugli Stati Uniti e sulla diaspora postbellica —, e riservando alle sei prive di apparato un vaglio esterno mirato, poiché sono le più esposte. È il modo corretto di trasformare un'acquisizione certificata in conoscenza certificata.</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Prospetto per documento (file di servizio) — corpus/diagnostica/ITALIA_NERA_CERTIFICATO_ACQUISIZIONE.xlsx</w:t>
      </w:r>
    </w:p>
    <w:p>
      <w:pPr>
        <w:spacing w:line="276" w:lineRule="auto" w:before="0" w:after="0"/>
        <w:ind w:firstLine="425"/>
        <w:jc w:val="both"/>
      </w:pPr>
      <w:r>
        <w:rPr>
          <w:rFonts w:ascii="Times New Roman" w:hAnsi="Times New Roman" w:cs="Times New Roman" w:eastAsia="Times New Roman"/>
          <w:b w:val="0"/>
          <w:sz w:val="24"/>
        </w:rPr>
        <w:t>Strato di estrazione integrale del testo — fonti/estrazioni/ (sedici file .txt)</w:t>
      </w:r>
    </w:p>
    <w:p>
      <w:pPr>
        <w:spacing w:line="276" w:lineRule="auto" w:before="0" w:after="0"/>
        <w:ind w:firstLine="425"/>
        <w:jc w:val="both"/>
      </w:pPr>
      <w:r>
        <w:rPr>
          <w:rFonts w:ascii="Times New Roman" w:hAnsi="Times New Roman" w:cs="Times New Roman" w:eastAsia="Times New Roman"/>
          <w:b w:val="0"/>
          <w:sz w:val="24"/>
        </w:rPr>
        <w:t>Censimento generale degli URL — repertorio/URL_CENSITI.xlsx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