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425"/>
        <w:jc w:val="both"/>
      </w:pPr>
      <w:r>
        <w:rPr>
          <w:rFonts w:ascii="Times New Roman" w:hAnsi="Times New Roman" w:cs="Times New Roman" w:eastAsia="Times New Roman"/>
          <w:b w:val="0"/>
          <w:sz w:val="24"/>
        </w:rPr>
        <w:t>Il corpus non possedeva nulla su Arnaldo La Barbera e Giovanni Tinebra: nessuna scheda, nessuna sinapsi. Eppure la chiusura delle pendenze della Trattativa aveva fatto convergere su questi due nomi i reperti piu' gravi dell'intero fronte di via D'Amelio: un appunto mai trasmesso, una perquisizione postuma, una motivazione d'appello che parla di interessi esterni alla mafia. Su ordine dell'autore questa triangolazione colma il vuoto con cento blocchi e due schede integrative, costruita da tre agenti di ricerca su fonti gradate, e si apre con l'avvertenza che governa ogni riga: i due uomini sono morti - il poliziotto nel duemiladue, il magistrato nel duemiladiciassette - senza essere mai stati imputati ne' condannati; ogni formula qui citata proviene da sentenze pronunciate contro altri o da valutazioni post mortem senza contraddittorio, e nessuna riga muove loro un'accusa.</w:t>
      </w:r>
    </w:p>
    <w:p>
      <w:pPr>
        <w:spacing w:line="276" w:lineRule="auto" w:before="0" w:after="0"/>
        <w:ind w:firstLine="425"/>
        <w:jc w:val="both"/>
      </w:pPr>
      <w:r>
        <w:rPr>
          <w:rFonts w:ascii="Times New Roman" w:hAnsi="Times New Roman" w:cs="Times New Roman" w:eastAsia="Times New Roman"/>
          <w:b w:val="0"/>
          <w:sz w:val="24"/>
        </w:rPr>
        <w:t>Arnaldo La Barbera, nato a Lecce nel millenovecentoquarantadue, guido' la Squadra Mobile di Venezia e poi, dall'agosto millenovecentottantotto, quella di Palermo; nel settembre del millenovecentonovantadue gli fu affidato il gruppo investigativo Falcone-Borsellino, e da li' la carriera sali' - dirigente generale, questore di Palermo, di Napoli e di Roma, prefetto a capo della polizia di prevenzione, fino alla notte della Diaz al G8 di Genova e alla rimozione con avviso di garanzia, tre mesi prima di morire. Il Borsellino quater gli attribuisce un ruolo fondamentale nella costruzione delle false collaborazioni; le motivazioni d'appello del processo sul depistaggio, depositate il due marzo di quest'anno, lo definiscono il dominus di un'azione deliberata volta a tutelare sistemi di interessi e centri di potere esterni e piu' complessi rispetto a Cosa Nostra. E un documento - la nota dell'AISI depositata nei processi - attesta cio' che nessuna biografia ufficiale diceva: dal febbraio millenovecentottantasei al marzo millenovecentottantotto, mentre dirigeva la Mobile di Venezia, La Barbera fu collaboratore retribuito del SISDE, nome in codice Rutilius. La proposta di arruolamento venne dall'ufficio diretto da Luigi De Sena: lo stesso nome che quattro anni dopo ne avrebbe propiziato la nomina a capo delle indagini sulla strage, e al quale La Barbera risulta aver versato due assegni per ventidue milioni di lire.</w:t>
      </w:r>
    </w:p>
    <w:p>
      <w:pPr>
        <w:spacing w:line="276" w:lineRule="auto" w:before="0" w:after="0"/>
        <w:ind w:firstLine="425"/>
        <w:jc w:val="both"/>
      </w:pPr>
      <w:r>
        <w:rPr>
          <w:rFonts w:ascii="Times New Roman" w:hAnsi="Times New Roman" w:cs="Times New Roman" w:eastAsia="Times New Roman"/>
          <w:b w:val="0"/>
          <w:sz w:val="24"/>
        </w:rPr>
        <w:t>Giovanni Tinebra, nato nel millenovecentoquarantuno, dopo ventitre anni al tribunale di Nicosia divenne procuratore capo di Caltanissetta nel luglio del millenovecentonovantadue: la strage lo trovo' appena insediato. Delego' di fatto le indagini al gruppo di La Barbera e il giorno dopo l'eccidio convoco' Bruno Contrada, numero tre del SISDE, chiedendogli una collaborazione che il quater avrebbe definito decisamente irrituale, perche' vietata dalle norme dell'epoca. Ecco il triangolo documentale che sta al centro dell'asse: il procuratore chiama il servizio; il capo delle sue indagini era stato, quattro anni prima, collaboratore retribuito di quel medesimo servizio; e il servizio - diranno le motivazioni del duemilaventisei - quantomeno asseconda la pista deviante. Poi, il dato che nessuna ricostruzione dell'epoca poteva prevedere: dal duemilauno al duemilasei Tinebra fu capo del Dipartimento dell'amministrazione penitenziaria - il custode del regime del quarantuno-bis, il cuore delle richieste della Trattativa - negli anni del cosiddetto Protocollo Farfalla fra il DAP e il SISDE. Mai indagato in vita, e' morto senza che alcun addebito gli sia stato mosso.</w:t>
      </w:r>
    </w:p>
    <w:p>
      <w:pPr>
        <w:spacing w:line="276" w:lineRule="auto" w:before="0" w:after="0"/>
        <w:ind w:firstLine="425"/>
        <w:jc w:val="both"/>
      </w:pPr>
      <w:r>
        <w:rPr>
          <w:rFonts w:ascii="Times New Roman" w:hAnsi="Times New Roman" w:cs="Times New Roman" w:eastAsia="Times New Roman"/>
          <w:b w:val="0"/>
          <w:sz w:val="24"/>
        </w:rPr>
        <w:t>La fabbrica di Scarantino e' il terreno su cui l'asse opero' insieme, ed e' interamente coperta da accertamenti definitivi. Il falso pentito fu indotto - e' la formula del quater - con pressioni, maltrattamenti e suggerimenti dai contenuti confessori; fu imboccato da investigatori del gruppo; i tre poliziotti processati, dicono le motivazioni del duemilaventisei, sapevano che mentiva. Le verbalizzazioni decisive portano le firme dei pubblici ministeri dell'ufficio di Tinebra; la collega Ilda Boccassini, con Roberto Saieva, mise per iscritto gia' nell'ottobre del millenovecentonovantaquattro la larga inattendibilita' del pentito, e lascio' Caltanissetta poco dopo; le ritrattazioni del millenovecentonovantacinque e del millenovecentonovantotto furono riassorbite o dichiarate false, e il castello resse fino a Spatuzza, quattordici anni e sette ergastoli innocenti piu' tardi. I magistrati dell'epoca, indagati a Messina, sono stati archiviati: il nodo dei pubblici ministeri - osserva la stampa giudiziaria sulle motivazioni - resta un rilievo critico, non un accertamento.</w:t>
      </w:r>
    </w:p>
    <w:p>
      <w:pPr>
        <w:spacing w:line="276" w:lineRule="auto" w:before="0" w:after="0"/>
        <w:ind w:firstLine="425"/>
        <w:jc w:val="both"/>
      </w:pPr>
      <w:r>
        <w:rPr>
          <w:rFonts w:ascii="Times New Roman" w:hAnsi="Times New Roman" w:cs="Times New Roman" w:eastAsia="Times New Roman"/>
          <w:b w:val="0"/>
          <w:sz w:val="24"/>
        </w:rPr>
        <w:t>La catena di custodia della borsa di Borsellino e' rotta in ogni anello, e i suoi due capi sono i due nomi dell'asse. Alle diciassette e venti circa del diciannove luglio il capitano Arcangioli e' fotografato con la borsa in mano - ma la foto emerge solo tredici anni dopo, e il suo proscioglimento e' definitivo dal duemilanove. La borsa finisce negli uffici della Squadra Mobile, nella stanza di La Barbera, dove resta per giorni su un divanetto; il pubblico ministero dell'epoca ha testimoniato che non fu mai redatto un verbale di sequestro. E il giorno dopo la strage La Barbera firma l'appunto che e' insieme il fondamento e l'anello fragile dell'intero caso: in data odierna, alle ore dodici, viene consegnato al dottore Tinebra uno scatolo in cartone contenente una borsa in pelle e una agenda appartenenti al giudice Borsellino. Mai trasmesso alla procura in trentatre anni, mai menzionato dal suo autore, privo di qualunque ricevuta: la procura odierna non e' riuscita a verificare ne' che la consegna avvenne, ne' quale delle due agende contenesse. L'ipotesi che La Barbera abbia avuto il tempo di sottrarre o copiare l'agenda e' della procura, ed e' dichiarata qui per quello che e': un'ipotesi.</w:t>
      </w:r>
    </w:p>
    <w:p>
      <w:pPr>
        <w:spacing w:line="276" w:lineRule="auto" w:before="0" w:after="0"/>
        <w:ind w:firstLine="425"/>
        <w:jc w:val="both"/>
      </w:pPr>
      <w:r>
        <w:rPr>
          <w:rFonts w:ascii="Times New Roman" w:hAnsi="Times New Roman" w:cs="Times New Roman" w:eastAsia="Times New Roman"/>
          <w:b w:val="0"/>
          <w:sz w:val="24"/>
        </w:rPr>
        <w:t>Attorno all'asse, le indagini del presente. Il ventisei giugno duemilaventicinque il ROS ha perquisito tre immobili riconducibili a Tinebra cercando l'agenda rossa, senza trovarla; il provvedimento formula l'ipotesi - mai vagliata da un giudice - che il magistrato appartenesse a una loggia massonica coperta di Nicosia, denominata Terzo Oriente e nata, secondo gli elementi raccolti, dalle ceneri della Propaganda Due: se un domani trovasse riscontro, l'asse si aggancerebbe al dominio massonico del corpus; per ora e' un se, gradato come tale. Parallelamente il giudice per le indagini preliminari ha ordinato, contro il parere della procura, di proseguire le indagini sui possibili mandanti esterni compresa la pista nera - la presenza di Delle Chiaie in Sicilia - e la Cassazione, nell'aprile scorso, ha dichiarato inammissibile il ricorso che voleva fermarle: le indagini proseguono, in un attrito fra uffici che e' esso stesso un reperto. E la posizione della procura sulla causa della strage guarda ora al dossier mafia-appalti: il dossier di Mori e De Donno, il cerchio che si chiude sulla voce precedente.</w:t>
      </w:r>
    </w:p>
    <w:p>
      <w:pPr>
        <w:spacing w:line="276" w:lineRule="auto" w:before="0" w:after="0"/>
        <w:ind w:firstLine="425"/>
        <w:jc w:val="both"/>
      </w:pPr>
      <w:r>
        <w:rPr>
          <w:rFonts w:ascii="Times New Roman" w:hAnsi="Times New Roman" w:cs="Times New Roman" w:eastAsia="Times New Roman"/>
          <w:b w:val="0"/>
          <w:sz w:val="24"/>
        </w:rPr>
        <w:t>Che cosa resta, secondo lo statuto? Quattro convergenze documentate: l'appunto, la delega delle indagini, il doppio filo con il SISDE, la gestione condivisa del falso pentito. Un depistaggio giudizialmente accertato - il piu' grave della storia italiana, dice il quater - che le motivazioni del duemilaventisei attribuiscono al braccio operativo dell'asse con la formula degli interessi esterni a Cosa Nostra. Una catena di custodia senza verbali, senza ricevute e senza l'agenda. E, dall'altra parte della bilancia, il fatto che nessun giudice ha mai qualificato l'asse come disegno unitario, che il documento fondante non ha una firma di ricevuta, e che i suoi due protagonisti non hanno mai potuto difendersi. La voce nasce gialla per costituzione: convergenza documentale certificata, significato ultimo sub iudice - e tre indagini aperte che possono spostare ogni grado. Il vincolo sulle fonti e' stato rispettato in ogni riga, senza alcun uso di Grokipedia ne' del quotidiano il manifesto.</w:t>
      </w:r>
    </w:p>
    <w:p>
      <w:pPr>
        <w:spacing w:line="276" w:lineRule="auto" w:before="0" w:after="0"/>
        <w:ind w:firstLine="425"/>
        <w:jc w:val="both"/>
      </w:pPr>
      <w:r>
        <w:rPr>
          <w:rFonts w:ascii="Times New Roman" w:hAnsi="Times New Roman" w:cs="Times New Roman" w:eastAsia="Times New Roman"/>
          <w:b/>
          <w:sz w:val="24"/>
        </w:rPr>
        <w:t>Fonti e URL</w:t>
      </w:r>
    </w:p>
    <w:p>
      <w:pPr>
        <w:spacing w:line="276" w:lineRule="auto" w:before="0" w:after="0"/>
        <w:ind w:firstLine="425"/>
        <w:jc w:val="both"/>
      </w:pPr>
      <w:r>
        <w:rPr>
          <w:rFonts w:ascii="Times New Roman" w:hAnsi="Times New Roman" w:cs="Times New Roman" w:eastAsia="Times New Roman"/>
          <w:b w:val="0"/>
          <w:sz w:val="24"/>
        </w:rPr>
        <w:t>Nota AISI sulla collaborazione La Barbera-SISDE (PDF via archivioantimafia.org) - grado A</w:t>
      </w:r>
    </w:p>
    <w:p>
      <w:pPr>
        <w:spacing w:line="276" w:lineRule="auto" w:before="0" w:after="0"/>
        <w:ind w:firstLine="425"/>
        <w:jc w:val="both"/>
      </w:pPr>
      <w:r>
        <w:rPr>
          <w:rFonts w:ascii="Times New Roman" w:hAnsi="Times New Roman" w:cs="Times New Roman" w:eastAsia="Times New Roman"/>
          <w:b w:val="0"/>
          <w:sz w:val="24"/>
        </w:rPr>
        <w:t>Testo dell'appunto 20.7.1992 e provvedimento di perquisizione 26.6.2025 (procura di Caltanissetta, via ANSA 26.6.2025) - grado A</w:t>
      </w:r>
    </w:p>
    <w:p>
      <w:pPr>
        <w:spacing w:line="276" w:lineRule="auto" w:before="0" w:after="0"/>
        <w:ind w:firstLine="425"/>
        <w:jc w:val="both"/>
      </w:pPr>
      <w:r>
        <w:rPr>
          <w:rFonts w:ascii="Times New Roman" w:hAnsi="Times New Roman" w:cs="Times New Roman" w:eastAsia="Times New Roman"/>
          <w:b w:val="0"/>
          <w:sz w:val="24"/>
        </w:rPr>
        <w:t>Motivazioni d'appello del processo depistaggio (dep. 2.3.2026, ~289 pp.; ANSA, GdS, La Sicilia, Il Dubbio, L'Indipendente concordi) e Borsellino quater (2017/def. 2021-22) - grado A (riportate)</w:t>
      </w:r>
    </w:p>
    <w:p>
      <w:pPr>
        <w:spacing w:line="276" w:lineRule="auto" w:before="0" w:after="0"/>
        <w:ind w:firstLine="425"/>
        <w:jc w:val="both"/>
      </w:pPr>
      <w:r>
        <w:rPr>
          <w:rFonts w:ascii="Times New Roman" w:hAnsi="Times New Roman" w:cs="Times New Roman" w:eastAsia="Times New Roman"/>
          <w:b w:val="0"/>
          <w:sz w:val="24"/>
        </w:rPr>
        <w:t>Stampa di qualita' (B): Il Fatto Quotidiano (5.12.2023 appunto; 26.6.2025; assegni De Sena 28.2.2024), Domani (Rutilius; richiesta irrituale), PalermoToday, Sky, Il Foglio (G8), Adnkronos (Boccassini), Poliziapenitenziaria.it (DAP/Farfalla), Il Post, Studio Cataldi</w:t>
      </w:r>
    </w:p>
    <w:p>
      <w:pPr>
        <w:spacing w:line="276" w:lineRule="auto" w:before="0" w:after="0"/>
        <w:ind w:firstLine="425"/>
        <w:jc w:val="both"/>
      </w:pPr>
      <w:r>
        <w:rPr>
          <w:rFonts w:ascii="Times New Roman" w:hAnsi="Times New Roman" w:cs="Times New Roman" w:eastAsia="Times New Roman"/>
          <w:b w:val="0"/>
          <w:sz w:val="24"/>
        </w:rPr>
        <w:t>Fonti C segnalate: Antimafia Duemila, Progetto San Francesco, StampaLibera (Ardita), TP24, Siciliaweb, il Giornale, Wikipedia (corroborazione)</w:t>
      </w:r>
    </w:p>
    <w:p>
      <w:pPr>
        <w:spacing w:line="276" w:lineRule="auto" w:before="0" w:after="0"/>
        <w:ind w:firstLine="425"/>
        <w:jc w:val="both"/>
      </w:pPr>
      <w:r>
        <w:rPr>
          <w:rFonts w:ascii="Times New Roman" w:hAnsi="Times New Roman" w:cs="Times New Roman" w:eastAsia="Times New Roman"/>
          <w:b w:val="0"/>
          <w:sz w:val="24"/>
        </w:rPr>
        <w:t>corpus: voci 70-72 (Trattativa, processo, pendenze); rete estesa (voce 68: Di Bernardo, Delle Chiaie)</w:t>
      </w:r>
    </w:p>
    <w:p>
      <w:pPr>
        <w:spacing w:line="276" w:lineRule="auto" w:before="0" w:after="0"/>
        <w:ind w:firstLine="425"/>
        <w:jc w:val="both"/>
      </w:pPr>
      <w:r>
        <w:rPr>
          <w:rFonts w:ascii="Times New Roman" w:hAnsi="Times New Roman" w:cs="Times New Roman" w:eastAsia="Times New Roman"/>
          <w:b w:val="0"/>
          <w:sz w:val="24"/>
        </w:rPr>
        <w:t>repertorio/ITALIA_NERA_ASSE_LA_BARBERA_TINEBRA.xlsx (100 blocchi + 2 schede integrative)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