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 xml:space="preserve">Il terzo lotto conferito all'opera contava sedici file, e la deduplica - condotta per impronta e, dove necessario, per contenuto - ne ha restituito la misura reale: </w:t>
      </w:r>
      <w:r>
        <w:rPr>
          <w:rFonts w:ascii="Times New Roman" w:hAnsi="Times New Roman" w:cs="Times New Roman" w:eastAsia="Times New Roman"/>
          <w:b/>
          <w:sz w:val="24"/>
        </w:rPr>
        <w:t>un solo documento sostanzialmente nuovo</w:t>
      </w:r>
      <w:r>
        <w:rPr>
          <w:rFonts w:ascii="Times New Roman" w:hAnsi="Times New Roman" w:cs="Times New Roman" w:eastAsia="Times New Roman"/>
          <w:b w:val="0"/>
          <w:sz w:val="24"/>
        </w:rPr>
        <w:t xml:space="preserve">, due varianti di formato, un doppione di contenuto con impronta diversa e dodici doppioni per impronta, di cui due doppi anche all'interno del lotto stesso. La deduplica integrale, file per file, apre il repertorio della triangolazione: nulla e' stato scartato senza che l'esito fosse dichiarato riga per riga. Le due varianti di formato - la versione editabile del rapporto sui reclutamenti negli Stati Uniti e quella del rapporto sull'Unione Sovietica, il cui testo coincide con i documenti gia' in corpus dall'inizio alla fine - sono state collocate accanto ai loro primari; e il caso del secondo elenco nominativo, che portava un'impronta nuova ma custodiva parola per parola lo stesso contenuto del primo, ha fissato una regola di metodo: </w:t>
      </w:r>
      <w:r>
        <w:rPr>
          <w:rFonts w:ascii="Times New Roman" w:hAnsi="Times New Roman" w:cs="Times New Roman" w:eastAsia="Times New Roman"/>
          <w:b/>
          <w:sz w:val="24"/>
        </w:rPr>
        <w:t>due impronte diverse possono custodire lo stesso testo</w:t>
      </w:r>
      <w:r>
        <w:rPr>
          <w:rFonts w:ascii="Times New Roman" w:hAnsi="Times New Roman" w:cs="Times New Roman" w:eastAsia="Times New Roman"/>
          <w:b w:val="0"/>
          <w:sz w:val="24"/>
        </w:rPr>
        <w:t>, e il confronto testuale e' d'obbligo prima di dichiarare nuovo un documento.</w:t>
      </w:r>
    </w:p>
    <w:p>
      <w:pPr>
        <w:spacing w:line="276" w:lineRule="auto" w:before="0" w:after="0"/>
        <w:ind w:firstLine="425"/>
        <w:jc w:val="both"/>
      </w:pPr>
      <w:r>
        <w:rPr>
          <w:rFonts w:ascii="Times New Roman" w:hAnsi="Times New Roman" w:cs="Times New Roman" w:eastAsia="Times New Roman"/>
          <w:b w:val="0"/>
          <w:sz w:val="24"/>
        </w:rPr>
        <w:t>Il documento nuovo e' il rapporto sull'</w:t>
      </w:r>
      <w:r>
        <w:rPr>
          <w:rFonts w:ascii="Times New Roman" w:hAnsi="Times New Roman" w:cs="Times New Roman" w:eastAsia="Times New Roman"/>
          <w:b/>
          <w:sz w:val="24"/>
        </w:rPr>
        <w:t>Internazionale Parallela</w:t>
      </w:r>
      <w:r>
        <w:rPr>
          <w:rFonts w:ascii="Times New Roman" w:hAnsi="Times New Roman" w:cs="Times New Roman" w:eastAsia="Times New Roman"/>
          <w:b w:val="0"/>
          <w:sz w:val="24"/>
        </w:rPr>
        <w:t xml:space="preserve">: sedici pagine sulla trasformazione di Russia Unita da partito di potere in strumento di diplomazia partitica e guerra cognitiva, sotto la regia di </w:t>
      </w:r>
      <w:r>
        <w:rPr>
          <w:rFonts w:ascii="Times New Roman" w:hAnsi="Times New Roman" w:cs="Times New Roman" w:eastAsia="Times New Roman"/>
          <w:b/>
          <w:sz w:val="24"/>
        </w:rPr>
        <w:t>Sergei Zheleznyak</w:t>
      </w:r>
      <w:r>
        <w:rPr>
          <w:rFonts w:ascii="Times New Roman" w:hAnsi="Times New Roman" w:cs="Times New Roman" w:eastAsia="Times New Roman"/>
          <w:b w:val="0"/>
          <w:sz w:val="24"/>
        </w:rPr>
        <w:t xml:space="preserve"> - classe millenovecentosettanta, formato nella pubblicita' e nella comunicazione strategica prima che nella Duma, sanzionato per il ruolo nell'annessione della Crimea. Il cuore documentale e' la rete dei </w:t>
      </w:r>
      <w:r>
        <w:rPr>
          <w:rFonts w:ascii="Times New Roman" w:hAnsi="Times New Roman" w:cs="Times New Roman" w:eastAsia="Times New Roman"/>
          <w:b/>
          <w:sz w:val="24"/>
        </w:rPr>
        <w:t>cinquantotto accordi</w:t>
      </w:r>
      <w:r>
        <w:rPr>
          <w:rFonts w:ascii="Times New Roman" w:hAnsi="Times New Roman" w:cs="Times New Roman" w:eastAsia="Times New Roman"/>
          <w:b w:val="0"/>
          <w:sz w:val="24"/>
        </w:rPr>
        <w:t xml:space="preserve"> fra partiti: e il paradigma dichiarato di quella rete e' l'accordo firmato a Mosca il sei marzo duemiladiciassette fra Russia Unita e la Lega Nord, con il preambolo sovranista e gli articoli su sincronizzazione informativa, scambio di delegazioni, integrazione legislativa e la clausola finale di non vincolativita'. L'Italia vi figura come il laboratorio meglio riuscito della strategia; seguono l'avamposto austriaco, il fronte balcanico con la Dichiarazione di Lovcen e la rete serba, lo spazio post-sovietico, l'Africa e l'Asia della retorica anticoloniale.</w:t>
      </w:r>
    </w:p>
    <w:p>
      <w:pPr>
        <w:spacing w:line="276" w:lineRule="auto" w:before="0" w:after="0"/>
        <w:ind w:firstLine="425"/>
        <w:jc w:val="both"/>
      </w:pPr>
      <w:r>
        <w:rPr>
          <w:rFonts w:ascii="Times New Roman" w:hAnsi="Times New Roman" w:cs="Times New Roman" w:eastAsia="Times New Roman"/>
          <w:b w:val="0"/>
          <w:sz w:val="24"/>
        </w:rPr>
        <w:t xml:space="preserve">La triangolazione capoverso per capoverso - novantotto capoversi contro l'intero grafo del corpus - ha dato un esito che e' esso stesso un reperto: </w:t>
      </w:r>
      <w:r>
        <w:rPr>
          <w:rFonts w:ascii="Times New Roman" w:hAnsi="Times New Roman" w:cs="Times New Roman" w:eastAsia="Times New Roman"/>
          <w:b/>
          <w:sz w:val="24"/>
        </w:rPr>
        <w:t>due soli agganci genuini</w:t>
      </w:r>
      <w:r>
        <w:rPr>
          <w:rFonts w:ascii="Times New Roman" w:hAnsi="Times New Roman" w:cs="Times New Roman" w:eastAsia="Times New Roman"/>
          <w:b w:val="0"/>
          <w:sz w:val="24"/>
        </w:rPr>
        <w:t xml:space="preserve"> e novantasei innesti puri. Il corpus storico, che si ferma ai primi anni novanta, non possiede quasi nulla del personale di questa rete: il rapporto e' il secondo pilastro del </w:t>
      </w:r>
      <w:r>
        <w:rPr>
          <w:rFonts w:ascii="Times New Roman" w:hAnsi="Times New Roman" w:cs="Times New Roman" w:eastAsia="Times New Roman"/>
          <w:b/>
          <w:sz w:val="24"/>
        </w:rPr>
        <w:t>Mondo Nero</w:t>
      </w:r>
      <w:r>
        <w:rPr>
          <w:rFonts w:ascii="Times New Roman" w:hAnsi="Times New Roman" w:cs="Times New Roman" w:eastAsia="Times New Roman"/>
          <w:b w:val="0"/>
          <w:sz w:val="24"/>
        </w:rPr>
        <w:t xml:space="preserve"> contemporaneo accanto al rapporto sull'oligarca moldavo - la' il vettore finanziario della guerra ibrida, qui la diplomazia partitica - e i due si integrano senza sovrapporsi. Un aggancio pero' pesa: la </w:t>
      </w:r>
      <w:r>
        <w:rPr>
          <w:rFonts w:ascii="Times New Roman" w:hAnsi="Times New Roman" w:cs="Times New Roman" w:eastAsia="Times New Roman"/>
          <w:b/>
          <w:sz w:val="24"/>
        </w:rPr>
        <w:t>SWAPO namibiana</w:t>
      </w:r>
      <w:r>
        <w:rPr>
          <w:rFonts w:ascii="Times New Roman" w:hAnsi="Times New Roman" w:cs="Times New Roman" w:eastAsia="Times New Roman"/>
          <w:b w:val="0"/>
          <w:sz w:val="24"/>
        </w:rPr>
        <w:t xml:space="preserve"> figura nella rete degli accordi, ed e' la stessa Namibia dell'inversione dei voti italiani alle Nazioni Unite del settantasei-settantasette gia' registrata come domanda aperta. La continuita' di teatro si registra come dato; nessuna continuita' di regia se ne inferisce.</w:t>
      </w:r>
    </w:p>
    <w:p>
      <w:pPr>
        <w:spacing w:line="276" w:lineRule="auto" w:before="0" w:after="0"/>
        <w:ind w:firstLine="425"/>
        <w:jc w:val="both"/>
      </w:pPr>
      <w:r>
        <w:rPr>
          <w:rFonts w:ascii="Times New Roman" w:hAnsi="Times New Roman" w:cs="Times New Roman" w:eastAsia="Times New Roman"/>
          <w:b w:val="0"/>
          <w:sz w:val="24"/>
        </w:rPr>
        <w:t xml:space="preserve">L'esito piu' istruttivo della tornata e' pero' un altro. L'aggancio automatico aveva proposto anche il Partito Democratico e il Partito Repubblicano, con i gradi sinaptici dei nodi italiani e americani del corpus: la lettura dei contesti ha mostrato che nel documento quei nomi designano il Partito Democratico di Serbia, il Partito Democratico Filippino, il Partito Repubblicano d'Armenia, il Partito Democratico Popolare del Tagikistan. </w:t>
      </w:r>
      <w:r>
        <w:rPr>
          <w:rFonts w:ascii="Times New Roman" w:hAnsi="Times New Roman" w:cs="Times New Roman" w:eastAsia="Times New Roman"/>
          <w:b/>
          <w:sz w:val="24"/>
        </w:rPr>
        <w:t>Omonimie</w:t>
      </w:r>
      <w:r>
        <w:rPr>
          <w:rFonts w:ascii="Times New Roman" w:hAnsi="Times New Roman" w:cs="Times New Roman" w:eastAsia="Times New Roman"/>
          <w:b w:val="0"/>
          <w:sz w:val="24"/>
        </w:rPr>
        <w:t>: falsi positivi dell'incrocio onomastico, scartati e registrati nel foglio dei ponti. E' l'applicazione diretta - e la prima occasione operativa - della metodologia dei falsi positivi che il rapporto sulla rete P-due e le dittature, entrato col secondo lotto, aveva teorizzato: il lotto precedente ha fornito la regola con cui si e' vagliato il lotto successivo.</w:t>
      </w:r>
    </w:p>
    <w:p>
      <w:pPr>
        <w:spacing w:line="276" w:lineRule="auto" w:before="0" w:after="0"/>
        <w:ind w:firstLine="425"/>
        <w:jc w:val="both"/>
      </w:pPr>
      <w:r>
        <w:rPr>
          <w:rFonts w:ascii="Times New Roman" w:hAnsi="Times New Roman" w:cs="Times New Roman" w:eastAsia="Times New Roman"/>
          <w:b w:val="0"/>
          <w:sz w:val="24"/>
        </w:rPr>
        <w:t>Accanto al documento nuovo, il lotto ha riportato in primo piano l'</w:t>
      </w:r>
      <w:r>
        <w:rPr>
          <w:rFonts w:ascii="Times New Roman" w:hAnsi="Times New Roman" w:cs="Times New Roman" w:eastAsia="Times New Roman"/>
          <w:b/>
          <w:sz w:val="24"/>
        </w:rPr>
        <w:t>elenco nominativo</w:t>
      </w:r>
      <w:r>
        <w:rPr>
          <w:rFonts w:ascii="Times New Roman" w:hAnsi="Times New Roman" w:cs="Times New Roman" w:eastAsia="Times New Roman"/>
          <w:b w:val="0"/>
          <w:sz w:val="24"/>
        </w:rPr>
        <w:t xml:space="preserve"> del fondo statunitense gia' custodito fra le fonti: il campione ragionato ne ha identificato cinque figure - il carnefice di Riga Herberts Cukurs, il comandante Viktors Arajs, il ministro ustascia Andrija Artukovic con due fascicoli, il capo della gioventu' hitleriana Artur Axmann, il direttore del settimanale delle SS Gunter d'Alquen - con la cautela di statuto che l'elenco indirizza al fascicolo e non pronuncia. Il difetto della lezione e' dichiarato: la traduzione automatica ha deformato nomi e cognomi, e la restituzione dall'originale d'archivio resta una pendenza aperta, insieme alla pulizia della doppia copia interna del documento sulla diaspora.</w:t>
      </w:r>
    </w:p>
    <w:p>
      <w:pPr>
        <w:spacing w:line="276" w:lineRule="auto" w:before="0" w:after="0"/>
        <w:ind w:firstLine="425"/>
        <w:jc w:val="both"/>
      </w:pPr>
      <w:r>
        <w:rPr>
          <w:rFonts w:ascii="Times New Roman" w:hAnsi="Times New Roman" w:cs="Times New Roman" w:eastAsia="Times New Roman"/>
          <w:b w:val="0"/>
          <w:sz w:val="24"/>
        </w:rPr>
        <w:t xml:space="preserve">Il conto dei centocinquantadue blocchi: sedici di grado massimo, ventiquattro agganci e incroci, novantasei innesti dichiarati, sedici negativi e pendenze. La catena ricezione-triangolazione - settantaquattro e settantacinque per il primo lotto, settantasei e settantasette per il secondo, settantotto e settantanove per questo - e' ormai il protocollo stabile di ogni conferimento. Nessuna interrogazione in rete; il vincolo sulle fonti e' rispettato in ogni riga, senza alcun uso di Grokipedia ne' del quotidiano il manifesto. Il terzo lotto entra nel corpus </w:t>
      </w:r>
      <w:r>
        <w:rPr>
          <w:rFonts w:ascii="Times New Roman" w:hAnsi="Times New Roman" w:cs="Times New Roman" w:eastAsia="Times New Roman"/>
          <w:b/>
          <w:sz w:val="24"/>
        </w:rPr>
        <w:t>federato, non giustapposto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corpus/opera/Russia_Unita_Accordi_Internazionali_e_Zheleznyak.pdf (il documento nuovo del lotto)</w:t>
      </w:r>
    </w:p>
    <w:p>
      <w:pPr>
        <w:spacing w:line="276" w:lineRule="auto" w:before="0" w:after="0"/>
        <w:ind w:firstLine="425"/>
        <w:jc w:val="both"/>
      </w:pPr>
      <w:r>
        <w:rPr>
          <w:rFonts w:ascii="Times New Roman" w:hAnsi="Times New Roman" w:cs="Times New Roman" w:eastAsia="Times New Roman"/>
          <w:b w:val="0"/>
          <w:sz w:val="24"/>
        </w:rPr>
        <w:t>corpus/opera/Nazisti_in_USA_Ricerca_Approfondita.txt + Nazisti_in_URSS_Ricerca_Approfondita.docx (varianti di formato collocate)</w:t>
      </w:r>
    </w:p>
    <w:p>
      <w:pPr>
        <w:spacing w:line="276" w:lineRule="auto" w:before="0" w:after="0"/>
        <w:ind w:firstLine="425"/>
        <w:jc w:val="both"/>
      </w:pPr>
      <w:r>
        <w:rPr>
          <w:rFonts w:ascii="Times New Roman" w:hAnsi="Times New Roman" w:cs="Times New Roman" w:eastAsia="Times New Roman"/>
          <w:b w:val="0"/>
          <w:sz w:val="24"/>
        </w:rPr>
        <w:t>fonti/Nazisti_in_USA_elenco_nominativo_finding_aid.pdf (campione ragionato; secondo invio = doppione di contenuto)</w:t>
      </w:r>
    </w:p>
    <w:p>
      <w:pPr>
        <w:spacing w:line="276" w:lineRule="auto" w:before="0" w:after="0"/>
        <w:ind w:firstLine="425"/>
        <w:jc w:val="both"/>
      </w:pPr>
      <w:r>
        <w:rPr>
          <w:rFonts w:ascii="Times New Roman" w:hAnsi="Times New Roman" w:cs="Times New Roman" w:eastAsia="Times New Roman"/>
          <w:b w:val="0"/>
          <w:sz w:val="24"/>
        </w:rPr>
        <w:t>corpus: 486 schede-nodo, Registro Sinaptico decodificato (voce 68); voci 74-77 per la catena di ricezione; Rete_P2_E_Dittature (voce 76) per la metodologia dei falsi positivi</w:t>
      </w:r>
    </w:p>
    <w:p>
      <w:pPr>
        <w:spacing w:line="276" w:lineRule="auto" w:before="0" w:after="0"/>
        <w:ind w:firstLine="425"/>
        <w:jc w:val="both"/>
      </w:pPr>
      <w:r>
        <w:rPr>
          <w:rFonts w:ascii="Times New Roman" w:hAnsi="Times New Roman" w:cs="Times New Roman" w:eastAsia="Times New Roman"/>
          <w:b w:val="0"/>
          <w:sz w:val="24"/>
        </w:rPr>
        <w:t>repertorio/ITALIA_NERA_TRIANGOLAZIONE_LOTTO3_RUSSIA_UNITA.xlsx (i centocinquantadue blocchi in nove fogli)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