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0"/>
        <w:ind w:firstLine="425"/>
        <w:jc w:val="both"/>
      </w:pPr>
      <w:r>
        <w:rPr>
          <w:rFonts w:ascii="Times New Roman" w:hAnsi="Times New Roman" w:cs="Times New Roman" w:eastAsia="Times New Roman"/>
          <w:b w:val="0"/>
          <w:sz w:val="24"/>
        </w:rPr>
        <w:t>Questo documento riferisce l'esito della triangolazione tra i primi venticinque personaggi del corpus ITALIA NERA, ordinati per numero di nodi, e l'intero corpus. Il lavoro si e' articolato in duecentocinquanta blocchi mirati, ottenuti incrociando ciascuno dei venticinque personaggi con dieci assi fissi: il dominio di appartenenza nel corpus; la rete o l'organizzazione; lo snodo geografico; la funzione svolta nel sistema; la cerniera con gli altri nodi; il rapporto con lo Stato e con i servizi; l'esito giudiziario secondo lo statuto Savona; l'aggancio con la parola chiave Putin e con la dorsale euroasiatica; le code irrisolte; e infine il verdetto proprio del nodo. Il metodo replica quello della triangolazione precedente sugli arsenali: si e' spinto il confronto su tutti gli assi, dichiarando ogni volta il grado che l'evidenza sostiene.</w:t>
      </w:r>
    </w:p>
    <w:p>
      <w:pPr>
        <w:spacing w:line="276" w:lineRule="auto" w:before="0" w:after="0"/>
        <w:ind w:firstLine="425"/>
        <w:jc w:val="both"/>
      </w:pPr>
      <w:r>
        <w:rPr>
          <w:rFonts w:ascii="Times New Roman" w:hAnsi="Times New Roman" w:cs="Times New Roman" w:eastAsia="Times New Roman"/>
          <w:b w:val="0"/>
          <w:sz w:val="24"/>
        </w:rPr>
        <w:t>Una precisazione di metodo e' doverosa sulla classifica stessa. Il conteggio esatto dei nodi e' distribuito su decine di registri analitici eterogenei, alcuni in formato testo e altri in foglio di calcolo, e non esiste nel corpus un contatore unico e notarile. Come indicatore del numero di nodi si e' quindi contata la frequenza con cui ciascun personaggio e' menzionato sull'intero corpus testuale, che ammonta a novantacinque file e a oltre quattro milioni di caratteri. La graduatoria che ne risulta va letta come un ordinamento di centralita' documentale, non come un censimento esatto: alcune posizioni sono gonfiate da omonimie o da locuzioni ricorrenti, come nel caso di Aldo Moro, la cui frequenza include anche il lodo Moro e le commissioni parlamentari a lui intitolate. Questa cautela e' dichiarata caso per caso nel foglio di servizio.</w:t>
      </w:r>
    </w:p>
    <w:p>
      <w:pPr>
        <w:spacing w:line="276" w:lineRule="auto" w:before="0" w:after="0"/>
        <w:ind w:firstLine="425"/>
        <w:jc w:val="both"/>
      </w:pPr>
      <w:r>
        <w:rPr>
          <w:rFonts w:ascii="Times New Roman" w:hAnsi="Times New Roman" w:cs="Times New Roman" w:eastAsia="Times New Roman"/>
          <w:b w:val="0"/>
          <w:sz w:val="24"/>
        </w:rPr>
        <w:t>In vetta alla classifica si collocano i due nodi-madre della galassia nera. Yves Guerin-Serac, con la frequenza piu' alta in assoluto, e' il fondatore di Aginter Press, la centrale di Lisbona che tra il millenovecentosessantasei e il millenovecentosettantaquattro fece da scuola internazionale del sabotaggio e dell'omicidio politico, reclutando gran parte dei quadri dall'ex organizzazione paramilitare francese della guerra d'Algeria. Subito dopo viene Stefano Delle Chiaie, il fondatore di Avanguardia Nazionale che di quella galassia fu il braccio operativo transnazionale, dall'Italia alla penisola iberica fino al Cono Sud dell'Operazione Condor. Entrambi restano, sul piano giudiziario italiano, figure mai condannate in via risolutiva: il corpus li certifica come nodi di convergenza di un milieu, non come vertici di una catena di comando provata.</w:t>
      </w:r>
    </w:p>
    <w:p>
      <w:pPr>
        <w:spacing w:line="276" w:lineRule="auto" w:before="0" w:after="0"/>
        <w:ind w:firstLine="425"/>
        <w:jc w:val="both"/>
      </w:pPr>
      <w:r>
        <w:rPr>
          <w:rFonts w:ascii="Times New Roman" w:hAnsi="Times New Roman" w:cs="Times New Roman" w:eastAsia="Times New Roman"/>
          <w:b w:val="0"/>
          <w:sz w:val="24"/>
        </w:rPr>
        <w:t>Il terzo posto e' occupato da Vladimir Putin, ed e' qui che la struttura profonda del corpus si rivela. Attorno a Putin si dispone un secondo blocco di nodi, quello euroasiatico: l'ideologo Aleksandr Dugin, la sua matrice dottrinale Jean Thiriart, il finanziere e regista mediatico Yuri Kovalchuk, l'intermediario del gas Dmitry Firtash, l'architetto finanziario del crimine post-sovietico Semyon Mogilevich, l'oligarca in rotta Mikhail Khodorkovsky e, sul versante americano, l'avvocato Michael Cohen. La lettura del corpus e' netta e viene qui ribadita: la galassia nera atlantista che domina la prima meta' della classifica non converge affatto su Putin, che ne e' semmai l'antipode di guerra fredda. I due blocchi si toccano soltanto in due punti: il ponte dottrinale che va da Thiriart a Dugin, e la spina del crimine e dell'energia che lega Mogilevich, Firtash e Kovalchuk.</w:t>
      </w:r>
    </w:p>
    <w:p>
      <w:pPr>
        <w:spacing w:line="276" w:lineRule="auto" w:before="0" w:after="0"/>
        <w:ind w:firstLine="425"/>
        <w:jc w:val="both"/>
      </w:pPr>
      <w:r>
        <w:rPr>
          <w:rFonts w:ascii="Times New Roman" w:hAnsi="Times New Roman" w:cs="Times New Roman" w:eastAsia="Times New Roman"/>
          <w:b w:val="0"/>
          <w:sz w:val="24"/>
        </w:rPr>
        <w:t>Il cuore anticomunista occidentale della classifica e' folto e coerente. Vi troviamo i due capi del regime sudafricano dell'apartheid, Pieter Willem Botha e il suo predecessore John Vorster, con l'operativo delle loro squadre della morte, Craig Williamson, autore materiale dell'omicidio di Ruth First con una lettera-bomba. Vi troviamo i nazisti riciclati Otto Skorzeny e Klaus Barbie, il primo come broker mercenario da Madrid, il secondo come consulente della repressione fino alla Bolivia del golpe della cocaina. Vi troviamo Henry Kissinger, trattato dal corpus con cautela come cornice atlantica e non come committente diretto, e Augusto Pinochet, capo di Stato e regista del terrore regionale. Tutti questi nodi condividono lo stesso verdetto sull'ottavo asse: nessun aggancio con Putin, se non quello, rovesciato, dell'antipodismo.</w:t>
      </w:r>
    </w:p>
    <w:p>
      <w:pPr>
        <w:spacing w:line="276" w:lineRule="auto" w:before="0" w:after="0"/>
        <w:ind w:firstLine="425"/>
        <w:jc w:val="both"/>
      </w:pPr>
      <w:r>
        <w:rPr>
          <w:rFonts w:ascii="Times New Roman" w:hAnsi="Times New Roman" w:cs="Times New Roman" w:eastAsia="Times New Roman"/>
          <w:b w:val="0"/>
          <w:sz w:val="24"/>
        </w:rPr>
        <w:t>Il versante italiano della classifica compone la spina dorsale del racconto nazionale. Licio Gelli e' il nodo-hub della loggia P2, tessitore tra eversione, Stato e finanza, e a differenza di molti altri porta condanne effettive, fino al recente accertamento come mandante della strage di Bologna. Aldo Moro e' il nodo-vittima baricentrico, la cerniera balistica dell'intero corpus. Vincenzo Vinciguerra e Guido Giannettini incarnano i due modi in cui l'eversione tocca lo Stato: il primo come esecutore poi testimone-accusatore del depistaggio di Peteano, il secondo come agente stipendiato del servizio militare. Junio Valerio Borghese porta la radice golpista dal principe nero della Repubblica Sociale al tentato colpo di Stato del millenovecentosettanta. Massimo Carminati e' la cerniera vivente tra i Nuclei Armati Rivoluzionari e la Banda della Magliana, il travaso tra eversione e crimine che il corpus ha gia' provato. Giulio Andreotti, infine, e' il nodo-Stato per eccellenza, l'uomo di governo che nel millenovecentonovanta rivelo' l'esistenza di Gladio.</w:t>
      </w:r>
    </w:p>
    <w:p>
      <w:pPr>
        <w:spacing w:line="276" w:lineRule="auto" w:before="0" w:after="0"/>
        <w:ind w:firstLine="425"/>
        <w:jc w:val="both"/>
      </w:pPr>
      <w:r>
        <w:rPr>
          <w:rFonts w:ascii="Times New Roman" w:hAnsi="Times New Roman" w:cs="Times New Roman" w:eastAsia="Times New Roman"/>
          <w:b w:val="0"/>
          <w:sz w:val="24"/>
        </w:rPr>
        <w:t>Il verdetto trasversale, che attraversa tutti e duecentocinquanta i blocchi, conferma e precisa quello della triangolazione sugli arsenali. Il corpus e' bicefalo. Un blocco egemone, nero e atlantista, occupa gran parte delle prime posizioni e ruota attorno alla scuola di Aginter, agli Stati dell'apartheid, ai nazisti riciclati e ai poteri occulti italiani: questo blocco non converge su Putin e ne e' l'antipode. Un secondo blocco, euroasiatico, ruota attorno a Putin e ai suoi anelli di potere. I due mondi non formano una catena di comando unica: si collegano soltanto per un ponte di idee, quello che dalla dottrina di Thiriart arriva all'eurasiatismo di Dugin, e per una spina di interessi, quella del crimine e dell'energia che unisce la mafia post-sovietica, gli intermediari del gas e i cassieri della cerchia del Cremlino. La convergenza di milieu e sistemica e' certificata; la catena di comando unica non e' provata e non viene promossa.</w:t>
      </w:r>
    </w:p>
    <w:p>
      <w:pPr>
        <w:spacing w:line="276" w:lineRule="auto" w:before="0" w:after="0"/>
        <w:ind w:firstLine="425"/>
        <w:jc w:val="both"/>
      </w:pPr>
      <w:r>
        <w:rPr>
          <w:rFonts w:ascii="Times New Roman" w:hAnsi="Times New Roman" w:cs="Times New Roman" w:eastAsia="Times New Roman"/>
          <w:b w:val="0"/>
          <w:sz w:val="24"/>
        </w:rPr>
        <w:t>Il documento e' accompagnato dal foglio di servizio omonimo, che espone i duecentocinquanta blocchi uno per uno, con il personaggio, la sua posizione in classifica, l'asse, il contenuto, il verdetto e il grado, oltre alla classifica sintetica con il verdetto di nodo per ciascuno dei venticinque. Il tutto va inteso come parte del registro delle verifiche documentali e sottosta integralmente allo statuto Savona: non si dichiara verificato cio' che non lo e', ogni allegazione conserva il proprio grado, e sui personaggi viventi si applica il massimo rigore. Il vincolo sulle fonti e' stato rispettato in ogni blocco, senza alcun uso di Grokipedia ne' del quotidiano il manifesto.</w:t>
      </w:r>
    </w:p>
    <w:p>
      <w:pPr>
        <w:spacing w:line="276" w:lineRule="auto" w:before="0" w:after="0"/>
        <w:ind w:firstLine="425"/>
        <w:jc w:val="both"/>
      </w:pPr>
      <w:r>
        <w:rPr>
          <w:rFonts w:ascii="Times New Roman" w:hAnsi="Times New Roman" w:cs="Times New Roman" w:eastAsia="Times New Roman"/>
          <w:b/>
          <w:sz w:val="24"/>
        </w:rPr>
        <w:t>Fonti e URL</w:t>
      </w:r>
    </w:p>
    <w:p>
      <w:pPr>
        <w:spacing w:line="276" w:lineRule="auto" w:before="0" w:after="0"/>
        <w:ind w:firstLine="425"/>
        <w:jc w:val="both"/>
      </w:pPr>
      <w:r>
        <w:rPr>
          <w:rFonts w:ascii="Times New Roman" w:hAnsi="Times New Roman" w:cs="Times New Roman" w:eastAsia="Times New Roman"/>
          <w:b w:val="0"/>
          <w:sz w:val="24"/>
        </w:rPr>
        <w:t>https://en.wikipedia.org/wiki/Aginter_Press</w:t>
      </w:r>
    </w:p>
    <w:p>
      <w:pPr>
        <w:spacing w:line="276" w:lineRule="auto" w:before="0" w:after="0"/>
        <w:ind w:firstLine="425"/>
        <w:jc w:val="both"/>
      </w:pPr>
      <w:r>
        <w:rPr>
          <w:rFonts w:ascii="Times New Roman" w:hAnsi="Times New Roman" w:cs="Times New Roman" w:eastAsia="Times New Roman"/>
          <w:b w:val="0"/>
          <w:sz w:val="24"/>
        </w:rPr>
        <w:t>https://anti-imperialist-u.blogspot.com/2020/05/stefano-delle-chiaie-from-gladio-to.html</w:t>
      </w:r>
    </w:p>
    <w:p>
      <w:pPr>
        <w:spacing w:line="276" w:lineRule="auto" w:before="0" w:after="0"/>
        <w:ind w:firstLine="425"/>
        <w:jc w:val="both"/>
      </w:pPr>
      <w:r>
        <w:rPr>
          <w:rFonts w:ascii="Times New Roman" w:hAnsi="Times New Roman" w:cs="Times New Roman" w:eastAsia="Times New Roman"/>
          <w:b w:val="0"/>
          <w:sz w:val="24"/>
        </w:rPr>
        <w:t>https://en.wikipedia.org/wiki/Craig_Williamson</w:t>
      </w:r>
    </w:p>
    <w:p>
      <w:pPr>
        <w:spacing w:line="276" w:lineRule="auto" w:before="0" w:after="0"/>
        <w:ind w:firstLine="425"/>
        <w:jc w:val="both"/>
      </w:pPr>
      <w:r>
        <w:rPr>
          <w:rFonts w:ascii="Times New Roman" w:hAnsi="Times New Roman" w:cs="Times New Roman" w:eastAsia="Times New Roman"/>
          <w:b w:val="0"/>
          <w:sz w:val="24"/>
        </w:rPr>
        <w:t>https://en.wikipedia.org/wiki/Yury_Kovalchuk</w:t>
      </w:r>
    </w:p>
    <w:p>
      <w:pPr>
        <w:spacing w:line="276" w:lineRule="auto" w:before="0" w:after="0"/>
        <w:ind w:firstLine="425"/>
        <w:jc w:val="both"/>
      </w:pPr>
      <w:r>
        <w:rPr>
          <w:rFonts w:ascii="Times New Roman" w:hAnsi="Times New Roman" w:cs="Times New Roman" w:eastAsia="Times New Roman"/>
          <w:b w:val="0"/>
          <w:sz w:val="24"/>
        </w:rPr>
        <w:t>https://home.treasury.gov/news/press-releases/jl23331</w:t>
      </w:r>
    </w:p>
    <w:p>
      <w:pPr>
        <w:spacing w:line="276" w:lineRule="auto" w:before="0" w:after="0"/>
        <w:ind w:firstLine="425"/>
        <w:jc w:val="both"/>
      </w:pPr>
      <w:r>
        <w:rPr>
          <w:rFonts w:ascii="Times New Roman" w:hAnsi="Times New Roman" w:cs="Times New Roman" w:eastAsia="Times New Roman"/>
          <w:b w:val="0"/>
          <w:sz w:val="24"/>
        </w:rPr>
        <w:t>https://en.wikipedia.org/wiki/Russian_mafia</w:t>
      </w:r>
    </w:p>
    <w:p>
      <w:pPr>
        <w:spacing w:line="276" w:lineRule="auto" w:before="0" w:after="0"/>
        <w:ind w:firstLine="425"/>
        <w:jc w:val="both"/>
      </w:pPr>
      <w:r>
        <w:rPr>
          <w:rFonts w:ascii="Times New Roman" w:hAnsi="Times New Roman" w:cs="Times New Roman" w:eastAsia="Times New Roman"/>
          <w:b w:val="0"/>
          <w:sz w:val="24"/>
        </w:rPr>
        <w:t>https://it.wikipedia.org/wiki/Caso_Moro</w:t>
      </w:r>
    </w:p>
    <w:p>
      <w:pPr>
        <w:spacing w:line="276" w:lineRule="auto" w:before="0" w:after="0"/>
        <w:ind w:firstLine="425"/>
        <w:jc w:val="both"/>
      </w:pPr>
      <w:r>
        <w:rPr>
          <w:rFonts w:ascii="Times New Roman" w:hAnsi="Times New Roman" w:cs="Times New Roman" w:eastAsia="Times New Roman"/>
          <w:b w:val="0"/>
          <w:sz w:val="24"/>
        </w:rPr>
        <w:t>https://www.ilfattoquotidiano.it/2024/11/18/strage-di-peteano-casson-e-lincontro-con-andreotti-cosi-fu-svelata-lesistenza-di-gladio-stay-behind/7770762/</w:t>
      </w:r>
    </w:p>
    <w:p>
      <w:pPr>
        <w:spacing w:line="276" w:lineRule="auto" w:before="0" w:after="0"/>
        <w:ind w:firstLine="425"/>
        <w:jc w:val="both"/>
      </w:pPr>
      <w:r>
        <w:rPr>
          <w:rFonts w:ascii="Times New Roman" w:hAnsi="Times New Roman" w:cs="Times New Roman" w:eastAsia="Times New Roman"/>
          <w:b w:val="0"/>
          <w:sz w:val="24"/>
        </w:rPr>
        <w:t>https://it.wikipedia.org/wiki/Organizzazione_Gladio</w:t>
      </w:r>
    </w:p>
    <w:p>
      <w:pPr>
        <w:spacing w:line="276" w:lineRule="auto" w:before="0" w:after="0"/>
        <w:ind w:firstLine="425"/>
        <w:jc w:val="both"/>
      </w:pPr>
      <w:r>
        <w:rPr>
          <w:rFonts w:ascii="Times New Roman" w:hAnsi="Times New Roman" w:cs="Times New Roman" w:eastAsia="Times New Roman"/>
          <w:b w:val="0"/>
          <w:sz w:val="24"/>
        </w:rPr>
        <w:t>https://it.wikipedia.org/wiki/Strage_di_Bologna</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