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Fra i molti fili che il corpus ITALIA NERA ha isolato, uno era rimasto sinora annunciato ma non sviluppato, e la triangolazione totale lo aveva additato come il piu' fecondo da percorrere: il cluster che lega la loggia massonica Propaganda Due alla finanza deviata e alla banca vaticana. Il connettoma dell'autore lo aveva reso visibile misurando l'intensita' delle sinapsi fra i suoi nodi, e proprio quelle sinapsi, fra le piu' alte dell'intera rete, imponevano di dedicargli una trattazione a se'. Questo documento la compie, attingendo per intero al corpus, ossia alle schede-nodo della sessantatreesima edizione, tutte di grado massimo, e al connettoma che le collega, senza alcuna interrogazione esterna, in adempimento della prescrizione di ritorno al corpus gia' acquisito.</w:t>
      </w:r>
    </w:p>
    <w:p>
      <w:pPr>
        <w:spacing w:line="276" w:lineRule="auto" w:before="0" w:after="0"/>
        <w:ind w:firstLine="425"/>
        <w:jc w:val="both"/>
      </w:pPr>
      <w:r>
        <w:rPr>
          <w:rFonts w:ascii="Times New Roman" w:hAnsi="Times New Roman" w:cs="Times New Roman" w:eastAsia="Times New Roman"/>
          <w:b w:val="0"/>
          <w:sz w:val="24"/>
        </w:rPr>
        <w:t>Il cluster ha la forma di un quadrilatero, i cui quattro vertici sono altrettanti nodi cardinali. Il primo e' Licio Gelli, nato a Pistoia nel millenovecentodiciannove e morto ad Arezzo nel duemilaquindici, Venerabile Maestro della loggia Propaganda Due del Grande Oriente d'Italia, la cui lista, sequestrata a Castiglion Fibocchi il diciassette marzo del millenovecentottantuno, reca novecentosessantadue affiliati; uomo dal pregresso fascista, volontario in Spagna e ufficiale di collegamento con gli ustascia croati, e dalle connessioni con la Central Intelligence Agency e con la dittatura argentina. Il secondo vertice e' Michele Sindona, banchiere siciliano nato a Patti nel millenovecentoventi e morto a Voghera nel millenovecentottantasei, iscritto alla loggia, proprietario della Banca Privata Italiana e della Franklin National Bank di New York. Il terzo e' Roberto Calvi, presidente del Banco Ambrosiano, nato a Milano nel millenovecentoventi e morto a Londra nel millenovecentottantadue, anch'egli iscritto alla loggia. Il quarto e' l'Istituto per le Opere di Religione, la banca vaticana, presieduto dall'arcivescovo Paul Casimir Marcinkus dal millenovecentosettantuno al millenovecentottantanove.</w:t>
      </w:r>
    </w:p>
    <w:p>
      <w:pPr>
        <w:spacing w:line="276" w:lineRule="auto" w:before="0" w:after="0"/>
        <w:ind w:firstLine="425"/>
        <w:jc w:val="both"/>
      </w:pPr>
      <w:r>
        <w:rPr>
          <w:rFonts w:ascii="Times New Roman" w:hAnsi="Times New Roman" w:cs="Times New Roman" w:eastAsia="Times New Roman"/>
          <w:b w:val="0"/>
          <w:sz w:val="24"/>
        </w:rPr>
        <w:t>La spina che tiene insieme il quadrilatero non e' una congettura dell'analista, ma un arco gia' certificato dal Registro Integrale al grado massimo, quello che le schede designano come Arco numero dieci: la filiazione che dalla finanza di Sindona e di Calvi passa per l'Istituto per le Opere di Religione e di li' si dirama all'estero, verso le societa' off-shore. E' un canale, non una semplice contiguita': il denaro dei due banchieri trova nella banca vaticana la propria camera di compensazione e il proprio schermo, e le lettere di patronato che l'Istituto, per mano di Marcinkus, rilascio' nel millenovecentottantuno alle societa' off-shore di Calvi ne sono la prova documentale. Attorno a questa spina si dispongono gli altri archi: l'iscrizione di Sindona e di Calvi alla loggia di Gelli, la connessione strutturale fra Sindona e l'Istituto, il legame fra il crack del Banco Ambrosiano e l'esposizione occulta della banca vaticana.</w:t>
      </w:r>
    </w:p>
    <w:p>
      <w:pPr>
        <w:spacing w:line="276" w:lineRule="auto" w:before="0" w:after="0"/>
        <w:ind w:firstLine="425"/>
        <w:jc w:val="both"/>
      </w:pPr>
      <w:r>
        <w:rPr>
          <w:rFonts w:ascii="Times New Roman" w:hAnsi="Times New Roman" w:cs="Times New Roman" w:eastAsia="Times New Roman"/>
          <w:b w:val="0"/>
          <w:sz w:val="24"/>
        </w:rPr>
        <w:t>Il connettoma conferma per via quantitativa cio' che le schede attestano per via documentale, e la conferma e' tanto piu' significativa in quanto proviene da una misura indipendente. La sinapsi fra Gelli e Sindona, con intensita' centotrentacinque, e' la piu' intensa del cluster: la loggia e il banchiere. Seguono la sinapsi fra l'Istituto per le Opere di Religione e Sindona, con centotrentaquattro; quella fra la Central Intelligence Agency e l'Istituto, con centoventinove, che rivela la dimensione atlantica del canale vaticano; quella fra l'Istituto e il Banco Ambrosiano, con centoventuno; e quella fra Gelli e l'Istituto, con centouno, che chiude il quadrilatero fra la massoneria e il Vaticano. A queste si aggiunge, decisiva per la proiezione politica del cluster, la sinapsi fra Giulio Andreotti e Gelli, con centosedici: l'aggancio della loggia al potere democristiano.</w:t>
      </w:r>
    </w:p>
    <w:p>
      <w:pPr>
        <w:spacing w:line="276" w:lineRule="auto" w:before="0" w:after="0"/>
        <w:ind w:firstLine="425"/>
        <w:jc w:val="both"/>
      </w:pPr>
      <w:r>
        <w:rPr>
          <w:rFonts w:ascii="Times New Roman" w:hAnsi="Times New Roman" w:cs="Times New Roman" w:eastAsia="Times New Roman"/>
          <w:b w:val="0"/>
          <w:sz w:val="24"/>
        </w:rPr>
        <w:t>Nessuna analisi di questo cluster sarebbe fedele se tacesse la scia di sangue che lo attraversa, poiche' e' precisamente in essa che la finanza deviata rivela la propria natura criminale. Tre morti la scandiscono, e tutte e tre riguardano la documentazione. La prima e' quella di Giorgio Ambrosoli, l'avvocato che Sindona aveva contro come liquidatore della Banca Privata Italiana: assassinato a Milano l'undici luglio del millenovecentosettantanove dal sicario William Arico', su mandato dello stesso Sindona, in quello che le schede definiscono l'omicidio per impedire la documentazione, e per il quale Sindona fu condannato all'ergastolo. La seconda e' quella di Calvi, trovato impiccato sotto il Ponte dei Frati Neri di Londra il diciotto giugno del millenovecentottantadue, morte dapprima archiviata come suicidio e poi riconosciuta come omicidio dalla sentenza italiana del duemilasette, che ne attribui' il mandato a Cosa Nostra, nella persona di Pippo Calo'. La terza e' quella dello stesso Sindona, avvelenato con un caffe' al cianuro nel carcere di Voghera il ventidue marzo del millenovecentottantasei, due giorni dopo la condanna all'ergastolo.</w:t>
      </w:r>
    </w:p>
    <w:p>
      <w:pPr>
        <w:spacing w:line="276" w:lineRule="auto" w:before="0" w:after="0"/>
        <w:ind w:firstLine="425"/>
        <w:jc w:val="both"/>
      </w:pPr>
      <w:r>
        <w:rPr>
          <w:rFonts w:ascii="Times New Roman" w:hAnsi="Times New Roman" w:cs="Times New Roman" w:eastAsia="Times New Roman"/>
          <w:b w:val="0"/>
          <w:sz w:val="24"/>
        </w:rPr>
        <w:t>E' proprio questa scia di sangue a saldare il cluster finanziario al dominio della criminalita' organizzata, e a fare del quadrilatero non un affare separato ma un segmento della trama piu' ampia. Sindona fu riciclatore per conto di Cosa Nostra; Calvi fu ucciso per mano mafiosa; e Marcinkus, secondo le fonti dell'ufficio investigativo statunitense, recava legami con la mafia americana, con l'organizzazione di Chicago, sin dalle proprie origini nella cittadina di Cicero. Il ponte che dal dominio della massoneria, della religione e della finanza conduce al dominio della criminalita' organizzata e' dunque documentato, ed e' lo stesso che, per altra via, congiunge questo cluster ai nodi mafiosi siciliani e alla questione, mai chiusa, dei rapporti fra il potere politico e Cosa Nostra.</w:t>
      </w:r>
    </w:p>
    <w:p>
      <w:pPr>
        <w:spacing w:line="276" w:lineRule="auto" w:before="0" w:after="0"/>
        <w:ind w:firstLine="425"/>
        <w:jc w:val="both"/>
      </w:pPr>
      <w:r>
        <w:rPr>
          <w:rFonts w:ascii="Times New Roman" w:hAnsi="Times New Roman" w:cs="Times New Roman" w:eastAsia="Times New Roman"/>
          <w:b w:val="0"/>
          <w:sz w:val="24"/>
        </w:rPr>
        <w:t>Il cluster si triangola, oltre che verso la mafia, in altre tre direzioni che il corpus aveva gia' battuto. Verso la galassia nera e il Cono Sud, per il tramite del pregresso fascista di Gelli e della presenza della loggia in Argentina, accanto a Massera e a Suarez Mason, gia' censita nella trattazione dell'Operazione Condor. Verso la dimensione atlantica, per il tramite delle connessioni di Sindona e dell'Istituto con la Central Intelligence Agency, e della Franklin National Bank presieduta da David Kennedy, gia' Segretario al Tesoro degli Stati Uniti. E verso il dominio della magistratura, per il tramite di Ambrosoli, il liquidatore ucciso, che e' il caso simbolo dell'omicidio del servitore dello Stato che documenta, e che accosta il cluster ai magistrati Falcone e Borsellino, uccisi anch'essi mentre documentavano. A cio' si aggiunge che Gelli, vertice del quadrilatero, e' anche indicato dalle sentenze come mandante della strage di Bologna: il medesimo uomo tiene il cluster finanziario e tocca la stagione stragista.</w:t>
      </w:r>
    </w:p>
    <w:p>
      <w:pPr>
        <w:spacing w:line="276" w:lineRule="auto" w:before="0" w:after="0"/>
        <w:ind w:firstLine="425"/>
        <w:jc w:val="both"/>
      </w:pPr>
      <w:r>
        <w:rPr>
          <w:rFonts w:ascii="Times New Roman" w:hAnsi="Times New Roman" w:cs="Times New Roman" w:eastAsia="Times New Roman"/>
          <w:b w:val="0"/>
          <w:sz w:val="24"/>
        </w:rPr>
        <w:t>Resta da tirare le somme secondo lo statuto, distinguendo con cura cio' che e' certo da cio' che non lo e', poiche' su un cluster tanto denso di morti la tentazione di dedurre oltre le prove e' massima. E' certo, al grado piu' alto, tutto cio' che le schede attestano e le sentenze hanno accertato: le identita' e i legami dei quattro vertici, l'Arco numero dieci, l'omicidio di Ambrosoli con la condanna di Sindona, l'omicidio di Calvi con il mandato mafioso accertato nel duemilasette, l'avvelenamento di Sindona, il crack del Banco Ambrosiano, le lettere di patronato dell'Istituto, e la posizione di Gelli come mandante di Bologna. Resta invece al grado inferiore cio' che le prove non sostengono: il mandante ultimo di ciascun delitto oltre l'esecutore materiale, il grado di responsabilita' penale dell'Istituto e di Marcinkus, che l'immunita' lateranense sottrasse al processo italiano, il nesso fra il cluster e Andreotti, che il connettoma rileva ma solo per appaiamento automatico, e la regia complessiva. La convergenza di milieu e' certificata; la catena di comando unica non e' provata.</w:t>
      </w:r>
    </w:p>
    <w:p>
      <w:pPr>
        <w:spacing w:line="276" w:lineRule="auto" w:before="0" w:after="0"/>
        <w:ind w:firstLine="425"/>
        <w:jc w:val="both"/>
      </w:pPr>
      <w:r>
        <w:rPr>
          <w:rFonts w:ascii="Times New Roman" w:hAnsi="Times New Roman" w:cs="Times New Roman" w:eastAsia="Times New Roman"/>
          <w:b w:val="0"/>
          <w:sz w:val="24"/>
        </w:rPr>
        <w:t>La cifra ultima di questo cluster, e la ragione per cui esso meritava una trattazione a se', e' che in esso lo Stato profondo italiano mostra il proprio volto finanziario. Nei depositi d'armi e nella balistica il corpus aveva incontrato l'arma e il proiettile; qui l'arma e' il denaro e il metodo e' il riciclaggio. Ma la scia di sangue che accompagna il denaro, e la protezione istituzionale che copre i suoi protagonisti, dall'immunita' lateranense alle archiviazioni poi ribaltate, sono le stesse che il corpus aveva riconosciuto negli altri fronti della medesima trama. Il quadrilatero della loggia, del Vaticano e della finanza non e' un capitolo separato della storia nera d'Italia: ne e' il conto in banca. Il vincolo sulle fonti e' stato rispettato in ogni riga,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corpus/opera/nodi/D04/ITALIA_NERA_NODO_D04_LICIO_GELLI_2AGO2026.docx</w:t>
      </w:r>
    </w:p>
    <w:p>
      <w:pPr>
        <w:spacing w:line="276" w:lineRule="auto" w:before="0" w:after="0"/>
        <w:ind w:firstLine="425"/>
        <w:jc w:val="both"/>
      </w:pPr>
      <w:r>
        <w:rPr>
          <w:rFonts w:ascii="Times New Roman" w:hAnsi="Times New Roman" w:cs="Times New Roman" w:eastAsia="Times New Roman"/>
          <w:b w:val="0"/>
          <w:sz w:val="24"/>
        </w:rPr>
        <w:t>corpus/opera/nodi/D04/ITALIA_NERA_NODO_D04_LOGGIA_P2_PROPAGANDA_DUE_2AGO2026.docx</w:t>
      </w:r>
    </w:p>
    <w:p>
      <w:pPr>
        <w:spacing w:line="276" w:lineRule="auto" w:before="0" w:after="0"/>
        <w:ind w:firstLine="425"/>
        <w:jc w:val="both"/>
      </w:pPr>
      <w:r>
        <w:rPr>
          <w:rFonts w:ascii="Times New Roman" w:hAnsi="Times New Roman" w:cs="Times New Roman" w:eastAsia="Times New Roman"/>
          <w:b w:val="0"/>
          <w:sz w:val="24"/>
        </w:rPr>
        <w:t>corpus/opera/nodi/D06/ITALIA_NERA_NODO_D06_MICHELE_SINDONA_2AGO2026.docx</w:t>
      </w:r>
    </w:p>
    <w:p>
      <w:pPr>
        <w:spacing w:line="276" w:lineRule="auto" w:before="0" w:after="0"/>
        <w:ind w:firstLine="425"/>
        <w:jc w:val="both"/>
      </w:pPr>
      <w:r>
        <w:rPr>
          <w:rFonts w:ascii="Times New Roman" w:hAnsi="Times New Roman" w:cs="Times New Roman" w:eastAsia="Times New Roman"/>
          <w:b w:val="0"/>
          <w:sz w:val="24"/>
        </w:rPr>
        <w:t>corpus/opera/nodi/D06/ITALIA_NERA_NODO_D06_BANCO_AMBROSIANO_2AGO2026.docx</w:t>
      </w:r>
    </w:p>
    <w:p>
      <w:pPr>
        <w:spacing w:line="276" w:lineRule="auto" w:before="0" w:after="0"/>
        <w:ind w:firstLine="425"/>
        <w:jc w:val="both"/>
      </w:pPr>
      <w:r>
        <w:rPr>
          <w:rFonts w:ascii="Times New Roman" w:hAnsi="Times New Roman" w:cs="Times New Roman" w:eastAsia="Times New Roman"/>
          <w:b w:val="0"/>
          <w:sz w:val="24"/>
        </w:rPr>
        <w:t>corpus/opera/nodi/D06/ITALIA_NERA_NODO_D06_ROBERTO_CALVI_2AGO2026.docx</w:t>
      </w:r>
    </w:p>
    <w:p>
      <w:pPr>
        <w:spacing w:line="276" w:lineRule="auto" w:before="0" w:after="0"/>
        <w:ind w:firstLine="425"/>
        <w:jc w:val="both"/>
      </w:pPr>
      <w:r>
        <w:rPr>
          <w:rFonts w:ascii="Times New Roman" w:hAnsi="Times New Roman" w:cs="Times New Roman" w:eastAsia="Times New Roman"/>
          <w:b w:val="0"/>
          <w:sz w:val="24"/>
        </w:rPr>
        <w:t>corpus/opera/nodi/D06/ITALIA_NERA_NODO_D06_GIORGIO_AMBROSOLI_2AGO2026.docx</w:t>
      </w:r>
    </w:p>
    <w:p>
      <w:pPr>
        <w:spacing w:line="276" w:lineRule="auto" w:before="0" w:after="0"/>
        <w:ind w:firstLine="425"/>
        <w:jc w:val="both"/>
      </w:pPr>
      <w:r>
        <w:rPr>
          <w:rFonts w:ascii="Times New Roman" w:hAnsi="Times New Roman" w:cs="Times New Roman" w:eastAsia="Times New Roman"/>
          <w:b w:val="0"/>
          <w:sz w:val="24"/>
        </w:rPr>
        <w:t>corpus/opera/nodi/D05/ITALIA_NERA_NODO_D05_IOR_ISTITUTO_PER_LE_OPERE_DI_RELIGIONE_2AGO2026.docx</w:t>
      </w:r>
    </w:p>
    <w:p>
      <w:pPr>
        <w:spacing w:line="276" w:lineRule="auto" w:before="0" w:after="0"/>
        <w:ind w:firstLine="425"/>
        <w:jc w:val="both"/>
      </w:pPr>
      <w:r>
        <w:rPr>
          <w:rFonts w:ascii="Times New Roman" w:hAnsi="Times New Roman" w:cs="Times New Roman" w:eastAsia="Times New Roman"/>
          <w:b w:val="0"/>
          <w:sz w:val="24"/>
        </w:rPr>
        <w:t>corpus/opera/nodi/D05/ITALIA_NERA_NODO_D05_PAUL_CASIMIR_MARCINKUS_2AGO2026.docx</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 (sinapsi inter-dominio)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