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Questo lavoro prosegue la sinaptogenesi delle monografie su Aginter Press e sugli assi dell'apartheid, integrando il materiale che la prima tornata aveva solo sfiorato. Le fonti qui lavorate sono la monografia sull'adjudicazione voce per voce del cosiddetto elenco SDCI — il rapporto del servizio portoghese del dopo-rivoluzione che elenca i committenti dell'ufficio di spionaggio di Aginter — quella sull'asse statunitense, quella sul rapporto con la Terza Posizione italiana, e le monografie sugli assi paraguaiano, argentino, cileno e brasiliano di Pretoria. Aggiunge ventidue nodi, quattordici archi e otto reperti negativi al foglio della prima tornata, e ne condivide lo statuto: ogni candidato entra al grado piu' basso e sale solo per triangolazione, e l'assenza di riscontro, quando e' dichiarata, e' un esito e non una lacuna. Il lavoro e' del sei agosto duemilaventisei.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L'elenco SDCI non ha valore probatorio uniforme: la vera scoperta e' la voce greca.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Il contributo metodologico centrale delle monografie sui servizi e' che l'elenco dei committenti «amici» di Aginter — la Central Intelligence Agency, il servizio tedesco, la sicurezza spagnola, il servizio sudafricano, quello greco — va riscontrato voce per voce e non recitato come un tutto. Fatta questa disciplina, la voce meglio fondata non e' nessuna di quelle piu' clamorose, ma quella greca, e per giunta da fonte primaria </w:t>
      </w:r>
      <w:r>
        <w:rPr>
          <w:rFonts w:ascii="Times New Roman" w:hAnsi="Times New Roman" w:cs="Times New Roman" w:eastAsia="Times New Roman"/>
          <w:b/>
          <w:sz w:val="24"/>
        </w:rPr>
        <w:t>(Livello B, documentale)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Una lettera di Guerin-Serac del tre dicembre del millenovecentosettantatre', acquisita agli atti della prima istruttoria sulla strage di Brescia, prova che egli conosceva l'indirizzo riservato del neonazista greco Kostas Plevris e vi menziona la tessera dell'agenzia. A monte, il viaggio-addestramento di quarantanove neofascisti italiani in Grecia nell'aprile del millenovecentosessantotto, organizzato con l'emanazione studentesca dei servizi greci, colloca l'ambiente di Ordine Nuovo e Avanguardia Nazionale dentro l'orbita della giunta dei colonnelli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>. La conclusione della Commissione Stragi e' che, fra le piste internazionali per Piazza Fontana, la greca sia «di gran lunga la piu' fondata e documentata».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Il legame francese e' di provenienza, non di committenza; quello tedesco passa per i reduci, non per il servizio.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Le altre voci si sgonfiano o si spostano. Il rapporto con l'apparato francese non e' un patrocinio ma una matrice: Guillou fu ufficiale dell'undicesima semibrigata paracadutisti d'assalto, braccio del Service Action, e membro fondatore dell'Organizzazione dell'esercito segreto, per la quale fu condannato in contumacia — aderendovi divenne nemico dello Stato gollista, cosi' che il patrocinio del servizio francese sull'agenzia e' un'assenza di riscontro </w:t>
      </w:r>
      <w:r>
        <w:rPr>
          <w:rFonts w:ascii="Times New Roman" w:hAnsi="Times New Roman" w:cs="Times New Roman" w:eastAsia="Times New Roman"/>
          <w:b/>
          <w:sz w:val="24"/>
        </w:rPr>
        <w:t>(matrice CERTA, committenza assente)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Il canale tedesco documentato non e' il servizio federale ma la rete neonazista di reduci di Francoforte, diretta dall'ex uomo di Goebbels Eberhard Taubert, socio di Skorzeny nel gruppo Paladin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il finanziamento della corrente bavarese di Franz Josef Strauss, emerso da un'inchiesta televisiva sui documenti sequestrati, e' probabile ma non equivale a una committenza del servizio federale </w:t>
      </w:r>
      <w:r>
        <w:rPr>
          <w:rFonts w:ascii="Times New Roman" w:hAnsi="Times New Roman" w:cs="Times New Roman" w:eastAsia="Times New Roman"/>
          <w:b/>
          <w:sz w:val="24"/>
        </w:rPr>
        <w:t>(Livello C, l'equazione Strauss uguale servizio resta non dimostrata)</w:t>
      </w:r>
      <w:r>
        <w:rPr>
          <w:rFonts w:ascii="Times New Roman" w:hAnsi="Times New Roman" w:cs="Times New Roman" w:eastAsia="Times New Roman"/>
          <w:b w:val="0"/>
          <w:sz w:val="24"/>
        </w:rPr>
        <w:t>. La voce spagnola, infine, e' sfasata: il rapporto con la sicurezza franchista e' documentato sul gruppo Paladin di Alicante — dove ripararono gli ex quadri dopo il millenovecentosettantaquattro — piu' che su Aginter come agenzia.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L'asse statunitense e la verita' giudiziaria di Piazza Fontana.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La monografia sui servizi americani conferma quanto la prima tornata aveva gia' fissato: la liaison fra la Central Intelligence Agency e la polizia politica portoghese e' certa, ma il legame diretto con Aginter e' leggenda a fonte debole, e la formula secondo cui «fu la Central Intelligence Agency a creare Aginter» eccede quanto le fonti citate sostengono. Il lavoro aggiunge pero' un nodo processuale che va registrato con nettezza: la rete informativa della Marina statunitense nel Triveneto, descritta da Carlo Digilio all'istruttoria Salvini — con Minetto, i capitani Carrett e Richard, la base di Verona — e' un quadro istruttorio serio ma non un accertamento </w:t>
      </w:r>
      <w:r>
        <w:rPr>
          <w:rFonts w:ascii="Times New Roman" w:hAnsi="Times New Roman" w:cs="Times New Roman" w:eastAsia="Times New Roman"/>
          <w:b/>
          <w:sz w:val="24"/>
        </w:rPr>
        <w:t>(Livello C)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La verita' giudiziaria definitiva, anzi, la ridimensiona: la Corte di cassazione, nel duemilacinque, confermo' le assoluzioni per la strage di Piazza Fontana e giudico' le dichiarazioni di Digilio «inattendibili e prive di riscontri». Resta acquisita in sede storica la matrice ordinovista; non una regia americana provata </w:t>
      </w:r>
      <w:r>
        <w:rPr>
          <w:rFonts w:ascii="Times New Roman" w:hAnsi="Times New Roman" w:cs="Times New Roman" w:eastAsia="Times New Roman"/>
          <w:b/>
          <w:sz w:val="24"/>
        </w:rPr>
        <w:t>(reperto negativo dichiarato)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La seconda catena italiana: Terza Posizione, distinta da Aginter, e i mandanti di Bologna.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La monografia sulla Terza Posizione chiarisce un nesso che la pubblicistica tende a forzare. Fra la centrale di Guerin-Serac e il movimento di Fiore, Adinolfi e Dimitri </w:t>
      </w:r>
      <w:r>
        <w:rPr>
          <w:rFonts w:ascii="Times New Roman" w:hAnsi="Times New Roman" w:cs="Times New Roman" w:eastAsia="Times New Roman"/>
          <w:b/>
          <w:sz w:val="24"/>
        </w:rPr>
        <w:t>(nuovo nodo, Livello B)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non c'e' filiazione organica: il gruppo di Madrid erede di Aginter si era disperso verso il Cile e l'Argentina gia' nel millenovecentosettantasette, un anno prima della nascita della Terza Posizione, che negli atti dell'istruttoria Salvini non compare mai. Il ponte e' semmai di ambiente e di persone — Delle Chiaie, che ebbe un contatto diretto con Giuseppe Dimitri a Parigi nel millenovecentosettantanove, e la figura solo congetturale di Enzo Maria Dantini — e di dottrina, la figura del «soldato politico». Il lavoro registra anche l'esito giudiziario piu' recente sulla strage di Bologna: la sentenza del duemilaventidue che indica come mandanti e finanziatori, tutti deceduti, il capo della loggia P2 Licio Gelli, Umberto Ortolani, il capo dell'Ufficio Affari Riservati Federico Umberto D'Amato e il senatore missino Mario Tedeschi, con l'ergastolo a Gilberto Cavallini divenuto definitivo nel duemilaventicinque </w:t>
      </w:r>
      <w:r>
        <w:rPr>
          <w:rFonts w:ascii="Times New Roman" w:hAnsi="Times New Roman" w:cs="Times New Roman" w:eastAsia="Times New Roman"/>
          <w:b/>
          <w:sz w:val="24"/>
        </w:rPr>
        <w:t>(Livello B, accertamento recente)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Gli assi dell'apartheid, in dettaglio: la 'diplomazia dei pariah'.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Le quattro monografie sudamericane approfondiscono gli assi gia' abbozzati. Il rapporto piu' ostentato fu quello paraguaiano: la visita di Stato di Stroessner a Pretoria e la visita di ritorno del premier Vorster nel millenovecentosettantacinque — unica di un capo di governo dell'apartheid in America Latina — con prestiti e onorificenze reciproche </w:t>
      </w:r>
      <w:r>
        <w:rPr>
          <w:rFonts w:ascii="Times New Roman" w:hAnsi="Times New Roman" w:cs="Times New Roman" w:eastAsia="Times New Roman"/>
          <w:b/>
          <w:sz w:val="24"/>
        </w:rPr>
        <w:t>(Livello A sul piano diplomatico)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Ma il lavoro applica la disciplina fino in fondo: i «ponti oscuri» — la conferenza della Lega anticomunista mondiale ad Asuncion del millenovecentosettantanove, l'Archivio del Terrore, il rifugio nazista di Rudel e Mengele — verso Pretoria si rivelano in larga parte assenze di riscontro </w:t>
      </w:r>
      <w:r>
        <w:rPr>
          <w:rFonts w:ascii="Times New Roman" w:hAnsi="Times New Roman" w:cs="Times New Roman" w:eastAsia="Times New Roman"/>
          <w:b/>
          <w:sz w:val="24"/>
        </w:rPr>
        <w:t>(reperto negativo)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, con l'unica eccezione della triangolazione Rheinmetall, in cui un impianto di munizioni dichiarato per una ditta paraguaiana inesistente fini' a Durban contro l'embargo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>. Sul versante cileno il collante fu lo «skunk status», lo stato di appestati: conferenza d'intelligence semestrale, scambio di onorificenze, e Carlos Cardoen che appose etichette «Made in Chile» su armi sudafricane — con la cautela, dichiarata, che il Cile non ebbe alcun ruolo nell'affare della nave Pia Vesta, dove figurano solo il Peru' e Panama.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L'ambivalenza argentina, la P2 e il controcampo brasiliano.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L'asse argentino fu reale ma mai un'alleanza: la dipendenza dal voto africano sulla questione delle Malvinas rese impossibile un abbraccio aperto con Pretoria, e le forniture d'armi sudafricane durante la guerra del millenovecentottantadue restano un'accusa contemporanea, ufficialmente smentita </w:t>
      </w:r>
      <w:r>
        <w:rPr>
          <w:rFonts w:ascii="Times New Roman" w:hAnsi="Times New Roman" w:cs="Times New Roman" w:eastAsia="Times New Roman"/>
          <w:b/>
          <w:sz w:val="24"/>
        </w:rPr>
        <w:t>(Livello C)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Cio' che e' certo e' la trama nera transnazionale: il quarto congresso della Confederazione anticomunista latinoamericana a Buenos Aires nel millenovecentottanta, con Delle Chiaie e l'incontro con l'organizzatore degli squadroni della morte salvadoregni, e la presenza dell'ammiraglio Massera e del generale Suarez Mason nella lista della loggia P2 di Licio Gelli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— una rete che, pero', non presenta ramificazioni sudafricane documentate. All'estremo opposto, il Brasile offre il controcampo piu' netto: dal Decreto del millenovecentottantacinque che mise sotto embargo il petrolio e le armi verso il Sudafrica e la Namibia occupata, fino al Movimento Nero Unificato e ad Abdias do Nascimento, che contestarono il mito della «democrazia razziale» e portarono in Brasile i rappresentanti del Congresso nazionale africano e della organizzazione namibiana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Esito.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Le monografie sui servizi, sulla Terza Posizione e sugli assi dell'apartheid sono state nodizzate in ventidue nuovi nodi e quattordici archi, con otto reperti negativi dichiarati, depositati nel foglio di servizio allegato accanto a quello della prima tornata. La lettura che ne esce e' coerente con lo statuto: l'elenco dei servizi committenti di Aginter regge dove esiste un riscontro indipendente — il Portogallo, la Grecia, in parte la Spagna — e resta «voce di un elenco recitato» dove il riscontro manca; le due catene italiane restano distinte, quella di Aginter e quella della Terza Posizione; e gli assi sudamericani dell'apartheid sono documentati nella loro dimensione diplomatica ed economica e dichiarati non documentati nei loro presunti ponti oscuri con la galassia nera. Se ne certifica la nodizzazione con questo esito. E' la ventiseiesima voce d'integrazione della sessione, e completa il grande fronte transnazionale aperto dalla voce precedente.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Fonti e URL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Aginter Press e i servizi europei e mediterranei (SDECE, BND, DGS, KYP, MI6, Mossad) — corpus/opera/ITALIA_NERA_Aginter_Servizi_SDECE_BND_DGS_KYP_MI6_Mossad.md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Aginter Press e i servizi statunitensi (CIA, NSA, FBI) — corpus/opera/Aginter_Press_and_US_Intelligence__Adjudicating_the_CIA_NSA_an.md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Aginter Press e la Terza Posizione nel mondo — corpus/opera/Aginter_Press_e_Terza_Posizione.md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Stroessner e Pretoria: l'asse Paraguay-Sudafrica — corpus/opera/Stroessner_e_Pretoria__lasse_ParaguaySudafrica_nella_diplomazi.md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Sudafrica-Namibia e Argentina: l'asse ambiguo dell'apartheid — corpus/opera/SudafricaNamibia_e_Argentina_19451998__LAsse_Ambiguo_dellApa.md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Cile e Sudafrica dell'apartheid: anatomia di un asse tra 'Stati pariah' — corpus/opera/Cile_e_Sudafrica_dellApartheid_19481994__Anatomia_di_un_Asse.md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Brasile, Sudafrica dell'apartheid e Namibia — corpus/opera/Brasile_Sudafrica_dellapartheid_e_Namibia_19481994__Diploma.md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Prima tornata di sinaptogenesi (venticinquesima voce) — repertorio/ITALIA_NERA_NODI_AGINTER_APARTHEID_INTEGRAZIONE.xlsx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Registro di servizio allegato — repertorio/ITALIA_NERA_NODI_AGINTER_APARTHEID_APPROFONDIMENTO.xlsx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