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40"/>
        <w:ind w:firstLine="0"/>
        <w:jc w:val="center"/>
      </w:pPr>
      <w:r>
        <w:rPr>
          <w:rFonts w:ascii="Times New Roman" w:hAnsi="Times New Roman" w:cs="Times New Roman" w:eastAsia="Times New Roman"/>
          <w:b/>
          <w:i w:val="0"/>
          <w:sz w:val="30"/>
        </w:rPr>
        <w:t>ITALIA NERA</w:t>
      </w:r>
    </w:p>
    <w:p>
      <w:pPr>
        <w:spacing w:line="276" w:lineRule="auto" w:before="0" w:after="200"/>
        <w:ind w:firstLine="0"/>
        <w:jc w:val="center"/>
      </w:pPr>
      <w:r>
        <w:rPr>
          <w:rFonts w:ascii="Times New Roman" w:hAnsi="Times New Roman" w:cs="Times New Roman" w:eastAsia="Times New Roman"/>
          <w:b w:val="0"/>
          <w:i/>
          <w:sz w:val="22"/>
        </w:rPr>
        <w:t>Registro Analitico delle Reti Informali Transnazionali</w:t>
      </w:r>
    </w:p>
    <w:p>
      <w:pPr>
        <w:spacing w:line="276" w:lineRule="auto" w:before="0" w:after="40"/>
        <w:ind w:firstLine="0"/>
        <w:jc w:val="center"/>
      </w:pPr>
      <w:r>
        <w:rPr>
          <w:rFonts w:ascii="Times New Roman" w:hAnsi="Times New Roman" w:cs="Times New Roman" w:eastAsia="Times New Roman"/>
          <w:b/>
          <w:i w:val="0"/>
          <w:sz w:val="24"/>
        </w:rPr>
        <w:t>DOCUMENTO-NODO</w:t>
      </w:r>
    </w:p>
    <w:p>
      <w:pPr>
        <w:spacing w:line="276" w:lineRule="auto" w:before="0" w:after="40"/>
        <w:ind w:firstLine="0"/>
        <w:jc w:val="center"/>
      </w:pPr>
      <w:r>
        <w:rPr>
          <w:rFonts w:ascii="Times New Roman" w:hAnsi="Times New Roman" w:cs="Times New Roman" w:eastAsia="Times New Roman"/>
          <w:b/>
          <w:i w:val="0"/>
          <w:sz w:val="28"/>
        </w:rPr>
        <w:t>▶ Andrea Finocchiaro Aprile</w:t>
      </w:r>
    </w:p>
    <w:p>
      <w:pPr>
        <w:spacing w:line="276" w:lineRule="auto" w:before="0" w:after="40"/>
        <w:ind w:firstLine="0"/>
        <w:jc w:val="center"/>
      </w:pPr>
      <w:r>
        <w:rPr>
          <w:rFonts w:ascii="Times New Roman" w:hAnsi="Times New Roman" w:cs="Times New Roman" w:eastAsia="Times New Roman"/>
          <w:b w:val="0"/>
          <w:i w:val="0"/>
          <w:sz w:val="22"/>
        </w:rPr>
        <w:t xml:space="preserve">Dominio primario D2 — Potere Politico   [D2 | </w:t>
      </w:r>
      <w:r>
        <w:rPr>
          <w:rFonts w:ascii="Times New Roman" w:hAnsi="Times New Roman" w:cs="Times New Roman" w:eastAsia="Times New Roman"/>
          <w:b/>
          <w:i w:val="0"/>
          <w:sz w:val="22"/>
        </w:rPr>
        <w:t>Savona A</w:t>
      </w:r>
      <w:r>
        <w:rPr>
          <w:rFonts w:ascii="Times New Roman" w:hAnsi="Times New Roman" w:cs="Times New Roman" w:eastAsia="Times New Roman"/>
          <w:b w:val="0"/>
          <w:i w:val="0"/>
          <w:sz w:val="22"/>
        </w:rPr>
        <w:t>]</w:t>
      </w:r>
    </w:p>
    <w:p>
      <w:pPr>
        <w:spacing w:line="276" w:lineRule="auto" w:before="0" w:after="160"/>
        <w:ind w:firstLine="0"/>
        <w:jc w:val="center"/>
      </w:pPr>
      <w:r>
        <w:rPr>
          <w:rFonts w:ascii="Times New Roman" w:hAnsi="Times New Roman" w:cs="Times New Roman" w:eastAsia="Times New Roman"/>
          <w:b w:val="0"/>
          <w:i w:val="0"/>
          <w:sz w:val="20"/>
        </w:rPr>
        <w:t>Luigi De Michele — Due agosto duemilaventisei</w:t>
      </w:r>
    </w:p>
    <w:p>
      <w:pPr>
        <w:spacing w:line="276" w:lineRule="auto" w:before="200" w:after="60"/>
        <w:ind w:firstLine="0"/>
        <w:jc w:val="both"/>
      </w:pPr>
      <w:r>
        <w:rPr>
          <w:rFonts w:ascii="Times New Roman" w:hAnsi="Times New Roman" w:cs="Times New Roman" w:eastAsia="Times New Roman"/>
          <w:b/>
          <w:i w:val="0"/>
          <w:sz w:val="24"/>
        </w:rPr>
        <w:t>Identità e classificazione</w:t>
      </w:r>
    </w:p>
    <w:p>
      <w:pPr>
        <w:spacing w:line="276" w:lineRule="auto" w:before="0" w:after="60"/>
        <w:ind w:firstLine="425"/>
        <w:jc w:val="both"/>
      </w:pPr>
      <w:r>
        <w:rPr>
          <w:rFonts w:ascii="Times New Roman" w:hAnsi="Times New Roman" w:cs="Times New Roman" w:eastAsia="Times New Roman"/>
          <w:b w:val="0"/>
          <w:i w:val="0"/>
          <w:sz w:val="24"/>
        </w:rPr>
        <w:t>Il presente documento è il dossier del neurone «Andrea Finocchiaro Aprile», nodo-persona del Registro Integrale V63 a dominanza primaria nel Dominio Due, Potere Politico. Il livello probatorio della scheda è Savona A, attribuito nella sede d’origine e qui conservato senza eccezioni.</w:t>
      </w:r>
    </w:p>
    <w:p>
      <w:pPr>
        <w:spacing w:line="276" w:lineRule="auto" w:before="200" w:after="60"/>
        <w:ind w:firstLine="0"/>
        <w:jc w:val="both"/>
      </w:pPr>
      <w:r>
        <w:rPr>
          <w:rFonts w:ascii="Times New Roman" w:hAnsi="Times New Roman" w:cs="Times New Roman" w:eastAsia="Times New Roman"/>
          <w:b/>
          <w:i w:val="0"/>
          <w:sz w:val="24"/>
        </w:rPr>
        <w:t>Scheda del Registro Integrale V63</w:t>
      </w:r>
    </w:p>
    <w:p>
      <w:pPr>
        <w:spacing w:line="276" w:lineRule="auto" w:before="0" w:after="60"/>
        <w:ind w:firstLine="425"/>
        <w:jc w:val="both"/>
      </w:pPr>
      <w:r>
        <w:rPr>
          <w:rFonts w:ascii="Times New Roman" w:hAnsi="Times New Roman" w:cs="Times New Roman" w:eastAsia="Times New Roman"/>
          <w:b w:val="0"/>
          <w:i w:val="0"/>
          <w:sz w:val="24"/>
        </w:rPr>
        <w:t>Palermo 1878 – Roma 1964. Avvocato. Leader del Movimento Indipendentista Siciliano (MIS). Comizio di Villalba (1° settembre 1943).</w:t>
      </w:r>
    </w:p>
    <w:p>
      <w:pPr>
        <w:spacing w:line="276" w:lineRule="auto" w:before="200" w:after="60"/>
        <w:ind w:firstLine="0"/>
        <w:jc w:val="both"/>
      </w:pPr>
      <w:r>
        <w:rPr>
          <w:rFonts w:ascii="Times New Roman" w:hAnsi="Times New Roman" w:cs="Times New Roman" w:eastAsia="Times New Roman"/>
          <w:b/>
          <w:i w:val="0"/>
          <w:sz w:val="24"/>
        </w:rPr>
        <w:t>Sinapsi in uscita dichiarate</w:t>
      </w:r>
    </w:p>
    <w:p>
      <w:pPr>
        <w:spacing w:line="276" w:lineRule="auto" w:before="0" w:after="60"/>
        <w:ind w:firstLine="425"/>
        <w:jc w:val="both"/>
      </w:pPr>
      <w:r>
        <w:rPr>
          <w:rFonts w:ascii="Times New Roman" w:hAnsi="Times New Roman" w:cs="Times New Roman" w:eastAsia="Times New Roman"/>
          <w:b w:val="0"/>
          <w:i w:val="0"/>
          <w:sz w:val="24"/>
        </w:rPr>
        <w:t>La riga delle connessioni della scheda dichiara le seguenti sinapsi, qui instradate sul dominio primario del bersaglio quando il bersaglio è un neurone censito: MIS (non censito); Villalba 1943 (non censito) ⊕. La ripartizione conta zero sinapsi intra-dominio, zero inter-dominio e due dirette a bersagli non censiti nel registro dei nodi, candidati alla futura formalizzazione.</w:t>
      </w:r>
    </w:p>
    <w:p>
      <w:pPr>
        <w:spacing w:line="276" w:lineRule="auto" w:before="200" w:after="60"/>
        <w:ind w:firstLine="0"/>
        <w:jc w:val="both"/>
      </w:pPr>
      <w:r>
        <w:rPr>
          <w:rFonts w:ascii="Times New Roman" w:hAnsi="Times New Roman" w:cs="Times New Roman" w:eastAsia="Times New Roman"/>
          <w:b/>
          <w:i w:val="0"/>
          <w:sz w:val="24"/>
        </w:rPr>
        <w:t>Sinapsi in entrata rilevate</w:t>
      </w:r>
    </w:p>
    <w:p>
      <w:pPr>
        <w:spacing w:line="276" w:lineRule="auto" w:before="0" w:after="60"/>
        <w:ind w:firstLine="425"/>
        <w:jc w:val="both"/>
      </w:pPr>
      <w:r>
        <w:rPr>
          <w:rFonts w:ascii="Times New Roman" w:hAnsi="Times New Roman" w:cs="Times New Roman" w:eastAsia="Times New Roman"/>
          <w:b w:val="0"/>
          <w:i w:val="0"/>
          <w:sz w:val="24"/>
        </w:rPr>
        <w:t>Nessun neurone del censimento cita questo nodo nella propria riga di connessioni: assenza rilevata automaticamente, di Livello C.</w:t>
      </w:r>
    </w:p>
    <w:p>
      <w:pPr>
        <w:spacing w:line="276" w:lineRule="auto" w:before="200" w:after="60"/>
        <w:ind w:firstLine="0"/>
        <w:jc w:val="both"/>
      </w:pPr>
      <w:r>
        <w:rPr>
          <w:rFonts w:ascii="Times New Roman" w:hAnsi="Times New Roman" w:cs="Times New Roman" w:eastAsia="Times New Roman"/>
          <w:b/>
          <w:i w:val="0"/>
          <w:sz w:val="24"/>
        </w:rPr>
        <w:t>Archi cross-section in cui il nodo compare</w:t>
      </w:r>
    </w:p>
    <w:p>
      <w:pPr>
        <w:spacing w:line="276" w:lineRule="auto" w:before="100" w:after="40"/>
        <w:ind w:firstLine="0"/>
        <w:jc w:val="both"/>
      </w:pPr>
      <w:r>
        <w:rPr>
          <w:rFonts w:ascii="Times New Roman" w:hAnsi="Times New Roman" w:cs="Times New Roman" w:eastAsia="Times New Roman"/>
          <w:b/>
          <w:i w:val="0"/>
          <w:sz w:val="24"/>
        </w:rPr>
        <w:t>◈ Arco #34 — Operazione Husky 1943 → Cosa Nostra-OSS (Filiazione)</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Lo sbarco alleato in Sicilia (10 luglio 1943, Operazione Husky) come momento fondativo dell'asse Cosa Nostra siciliana – OSS-USA – Movimento Indipendentista Siciliano. Coinvolgimento di Calogero Vizzini (Villalba), Genco Russo (Mussomeli), Giuseppe Genco Russo, Salvatore Giuliano (poi Banda Giuliano). Lucky Luciano come canale di mediazione operativa attraverso il Naval Intelligence (Operazione Underworld).</w:t>
      </w:r>
    </w:p>
    <w:p>
      <w:pPr>
        <w:spacing w:line="276" w:lineRule="auto" w:before="0" w:after="40"/>
        <w:ind w:firstLine="425"/>
        <w:jc w:val="both"/>
      </w:pPr>
      <w:r>
        <w:rPr>
          <w:rFonts w:ascii="Times New Roman" w:hAnsi="Times New Roman" w:cs="Times New Roman" w:eastAsia="Times New Roman"/>
          <w:b w:val="0"/>
          <w:i w:val="0"/>
          <w:sz w:val="24"/>
        </w:rPr>
        <w:t>Attori principali: Calogero Vizzini, Genco Russo, Lucky Luciano, OSS-Donovan, Andrea Finocchiaro Aprile</w:t>
      </w:r>
    </w:p>
    <w:p>
      <w:pPr>
        <w:spacing w:line="276" w:lineRule="auto" w:before="200" w:after="60"/>
        <w:ind w:firstLine="0"/>
        <w:jc w:val="both"/>
      </w:pPr>
      <w:r>
        <w:rPr>
          <w:rFonts w:ascii="Times New Roman" w:hAnsi="Times New Roman" w:cs="Times New Roman" w:eastAsia="Times New Roman"/>
          <w:b/>
          <w:i w:val="0"/>
          <w:sz w:val="24"/>
        </w:rPr>
        <w:t>Nodi-evento correlati</w:t>
      </w:r>
    </w:p>
    <w:p>
      <w:pPr>
        <w:spacing w:line="276" w:lineRule="auto" w:before="0" w:after="40"/>
        <w:ind w:firstLine="425"/>
        <w:jc w:val="both"/>
      </w:pPr>
      <w:r>
        <w:rPr>
          <w:rFonts w:ascii="Times New Roman" w:hAnsi="Times New Roman" w:cs="Times New Roman" w:eastAsia="Times New Roman"/>
          <w:b w:val="0"/>
          <w:i w:val="0"/>
          <w:sz w:val="24"/>
        </w:rPr>
        <w:t>I nodi-evento seguenti citano il neurone; ordinamento cronologico; attribuzione automatica di Livello C.</w:t>
      </w:r>
    </w:p>
    <w:p>
      <w:pPr>
        <w:spacing w:line="276" w:lineRule="auto" w:before="60" w:after="40"/>
        <w:ind w:firstLine="0"/>
        <w:jc w:val="both"/>
      </w:pPr>
      <w:r>
        <w:rPr>
          <w:rFonts w:ascii="Times New Roman" w:hAnsi="Times New Roman" w:cs="Times New Roman" w:eastAsia="Times New Roman"/>
          <w:b/>
          <w:i w:val="0"/>
          <w:sz w:val="24"/>
        </w:rPr>
        <w:t xml:space="preserve">› Bay of Pigs (Baia dei Porci) (1+): </w:t>
      </w:r>
      <w:r>
        <w:rPr>
          <w:rFonts w:ascii="Times New Roman" w:hAnsi="Times New Roman" w:cs="Times New Roman" w:eastAsia="Times New Roman"/>
          <w:b w:val="0"/>
          <w:i w:val="0"/>
          <w:sz w:val="24"/>
        </w:rPr>
        <w:t>Aprile 1961 Cuba. Fallimento CIA-Brigada 2506</w:t>
      </w:r>
    </w:p>
    <w:p>
      <w:pPr>
        <w:spacing w:line="276" w:lineRule="auto" w:before="200" w:after="60"/>
        <w:ind w:firstLine="0"/>
        <w:jc w:val="both"/>
      </w:pPr>
      <w:r>
        <w:rPr>
          <w:rFonts w:ascii="Times New Roman" w:hAnsi="Times New Roman" w:cs="Times New Roman" w:eastAsia="Times New Roman"/>
          <w:b/>
          <w:i w:val="0"/>
          <w:sz w:val="24"/>
        </w:rPr>
        <w:t>Statuto e lacune</w:t>
      </w:r>
    </w:p>
    <w:p>
      <w:pPr>
        <w:spacing w:line="276" w:lineRule="auto" w:before="0" w:after="0"/>
        <w:ind w:firstLine="425"/>
        <w:jc w:val="both"/>
      </w:pPr>
      <w:r>
        <w:rPr>
          <w:rFonts w:ascii="Times New Roman" w:hAnsi="Times New Roman" w:cs="Times New Roman" w:eastAsia="Times New Roman"/>
          <w:b w:val="0"/>
          <w:i w:val="0"/>
          <w:sz w:val="24"/>
        </w:rPr>
        <w:t>Le sezioni di rilevamento automatico — sinapsi in entrata, archi ed eventi — sono di Livello C per costruzione e la loro promozione passa per il vaglio dell’autore; l’appaiamento usa il nome completo e, solo se univoci nel censimento, il cognome o la sigla, sicché le citazioni per cognome omonimo possono sfuggire e vanno recuperate manualmente. La sinaptogenesi sistematica del neurone appartiene alla fase successiva dell’opera.</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