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Bettino Craxi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«Bettino Craxi»,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Milano 1934 – Hammamet 2000. Segretario PSI 1976–1993. Presidente del Consiglio 1983–1987. Crisi di Sigonella (ottobre 1985) con il governo Reagan dopo il caso Achille Lauro. Esiliato a Hammamet (Tunisia) nel 1994 per evitare i processi Tangentopoli. Caso paradigmatico del Pattern 14 (Santuario Extraterritoriale). Mancata audizione in Tunisia segnalata come lacuna documentale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PSI (non censito); Reagan (non censito); Sigonella (non censito); Tangentopoli (non censito); Lodo Moro (non censito); Pattern 14 (non censito) ⊕. La ripartizione conta zero sinapsi intra-dominio, zero inter-dominio e sei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#18 — Sismi-Mossad → Affari Achille Lauro-Sigonella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L'affare Achille Lauro (7 ottobre 1985, dirottamento del transatlantico) come caso paradigmatico di tensione USA-Italia-Mossad. Crisi di Sigonella (11 ottobre 1985, scontro Carabinieri-Delta Force USA per Abu Abbas). Connessioni Sismi (Martini)-Mossad. Caso paradigmatico di accoppiamento strutturale tra servizi Atlantici e mediterranei.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Bettino Craxi, Giulio Andreotti, Fulvio Martini, Abu Abbas, Yitzhak Rabin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Concordato Villa Madama 1984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Craxi-Casaroli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