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ind w:firstLine="0"/>
        <w:jc w:val="center"/>
      </w:pPr>
      <w:r>
        <w:rPr>
          <w:rFonts w:ascii="Times New Roman" w:hAnsi="Times New Roman" w:cs="Times New Roman" w:eastAsia="Times New Roman"/>
          <w:b/>
          <w:i w:val="0"/>
          <w:sz w:val="30"/>
        </w:rPr>
        <w:t>ITALIA NERA</w:t>
      </w:r>
    </w:p>
    <w:p>
      <w:pPr>
        <w:spacing w:line="276" w:lineRule="auto" w:before="0" w:after="200"/>
        <w:ind w:firstLine="0"/>
        <w:jc w:val="center"/>
      </w:pPr>
      <w:r>
        <w:rPr>
          <w:rFonts w:ascii="Times New Roman" w:hAnsi="Times New Roman" w:cs="Times New Roman" w:eastAsia="Times New Roman"/>
          <w:b w:val="0"/>
          <w:i/>
          <w:sz w:val="22"/>
        </w:rPr>
        <w:t>Registro Analitico delle Reti Informali Transnazionali</w:t>
      </w:r>
    </w:p>
    <w:p>
      <w:pPr>
        <w:spacing w:line="276" w:lineRule="auto" w:before="0" w:after="40"/>
        <w:ind w:firstLine="0"/>
        <w:jc w:val="center"/>
      </w:pPr>
      <w:r>
        <w:rPr>
          <w:rFonts w:ascii="Times New Roman" w:hAnsi="Times New Roman" w:cs="Times New Roman" w:eastAsia="Times New Roman"/>
          <w:b/>
          <w:i w:val="0"/>
          <w:sz w:val="24"/>
        </w:rPr>
        <w:t>DOCUMENTO-NODO</w:t>
      </w:r>
    </w:p>
    <w:p>
      <w:pPr>
        <w:spacing w:line="276" w:lineRule="auto" w:before="0" w:after="40"/>
        <w:ind w:firstLine="0"/>
        <w:jc w:val="center"/>
      </w:pPr>
      <w:r>
        <w:rPr>
          <w:rFonts w:ascii="Times New Roman" w:hAnsi="Times New Roman" w:cs="Times New Roman" w:eastAsia="Times New Roman"/>
          <w:b/>
          <w:i w:val="0"/>
          <w:sz w:val="28"/>
        </w:rPr>
        <w:t>▶ Giovanni Gioia</w:t>
      </w:r>
    </w:p>
    <w:p>
      <w:pPr>
        <w:spacing w:line="276" w:lineRule="auto" w:before="0" w:after="40"/>
        <w:ind w:firstLine="0"/>
        <w:jc w:val="center"/>
      </w:pPr>
      <w:r>
        <w:rPr>
          <w:rFonts w:ascii="Times New Roman" w:hAnsi="Times New Roman" w:cs="Times New Roman" w:eastAsia="Times New Roman"/>
          <w:b w:val="0"/>
          <w:i w:val="0"/>
          <w:sz w:val="22"/>
        </w:rPr>
        <w:t xml:space="preserve">Dominio primario D2 — Potere Politico   [D2 D1 | </w:t>
      </w:r>
      <w:r>
        <w:rPr>
          <w:rFonts w:ascii="Times New Roman" w:hAnsi="Times New Roman" w:cs="Times New Roman" w:eastAsia="Times New Roman"/>
          <w:b/>
          <w:i w:val="0"/>
          <w:sz w:val="22"/>
        </w:rPr>
        <w:t>Savona A</w:t>
      </w:r>
      <w:r>
        <w:rPr>
          <w:rFonts w:ascii="Times New Roman" w:hAnsi="Times New Roman" w:cs="Times New Roman" w:eastAsia="Times New Roman"/>
          <w:b w:val="0"/>
          <w:i w:val="0"/>
          <w:sz w:val="22"/>
        </w:rPr>
        <w:t>]</w:t>
      </w:r>
    </w:p>
    <w:p>
      <w:pPr>
        <w:spacing w:line="276" w:lineRule="auto" w:before="0" w:after="160"/>
        <w:ind w:firstLine="0"/>
        <w:jc w:val="center"/>
      </w:pPr>
      <w:r>
        <w:rPr>
          <w:rFonts w:ascii="Times New Roman" w:hAnsi="Times New Roman" w:cs="Times New Roman" w:eastAsia="Times New Roman"/>
          <w:b w:val="0"/>
          <w:i w:val="0"/>
          <w:sz w:val="20"/>
        </w:rPr>
        <w:t>Luigi De Michele — Due agosto duemilaventisei</w:t>
      </w:r>
    </w:p>
    <w:p>
      <w:pPr>
        <w:spacing w:line="276" w:lineRule="auto" w:before="200" w:after="60"/>
        <w:ind w:firstLine="0"/>
        <w:jc w:val="both"/>
      </w:pPr>
      <w:r>
        <w:rPr>
          <w:rFonts w:ascii="Times New Roman" w:hAnsi="Times New Roman" w:cs="Times New Roman" w:eastAsia="Times New Roman"/>
          <w:b/>
          <w:i w:val="0"/>
          <w:sz w:val="24"/>
        </w:rPr>
        <w:t>Identità e classificazione</w:t>
      </w:r>
    </w:p>
    <w:p>
      <w:pPr>
        <w:spacing w:line="276" w:lineRule="auto" w:before="0" w:after="60"/>
        <w:ind w:firstLine="425"/>
        <w:jc w:val="both"/>
      </w:pPr>
      <w:r>
        <w:rPr>
          <w:rFonts w:ascii="Times New Roman" w:hAnsi="Times New Roman" w:cs="Times New Roman" w:eastAsia="Times New Roman"/>
          <w:b w:val="0"/>
          <w:i w:val="0"/>
          <w:sz w:val="24"/>
        </w:rPr>
        <w:t>Il presente documento è il dossier del neurone «Giovanni Gioia», nodo-persona del Registro Integrale V63 a dominanza primaria nel Dominio Due, Potere Politico, con proiezione sull’area D1 (Criminalità Organizzata). Il livello probatorio della scheda è Savona A, attribuito nella sede d’origine e qui conservato senza eccezioni.</w:t>
      </w:r>
    </w:p>
    <w:p>
      <w:pPr>
        <w:spacing w:line="276" w:lineRule="auto" w:before="200" w:after="60"/>
        <w:ind w:firstLine="0"/>
        <w:jc w:val="both"/>
      </w:pPr>
      <w:r>
        <w:rPr>
          <w:rFonts w:ascii="Times New Roman" w:hAnsi="Times New Roman" w:cs="Times New Roman" w:eastAsia="Times New Roman"/>
          <w:b/>
          <w:i w:val="0"/>
          <w:sz w:val="24"/>
        </w:rPr>
        <w:t>Scheda del Registro Integrale V63</w:t>
      </w:r>
    </w:p>
    <w:p>
      <w:pPr>
        <w:spacing w:line="276" w:lineRule="auto" w:before="0" w:after="60"/>
        <w:ind w:firstLine="425"/>
        <w:jc w:val="both"/>
      </w:pPr>
      <w:r>
        <w:rPr>
          <w:rFonts w:ascii="Times New Roman" w:hAnsi="Times New Roman" w:cs="Times New Roman" w:eastAsia="Times New Roman"/>
          <w:b w:val="0"/>
          <w:i w:val="0"/>
          <w:sz w:val="24"/>
        </w:rPr>
        <w:t>Palermo 1925 – Roma 1981. Ministro DC. Sottosegretario alla Marina mercantile. Citato dalla Commissione Antimafia per rapporti mafia-DC-appalti-sviluppo edilizio illegale a Palermo. Protagonista del Sacco di Palermo insieme a Lima e Ciancimino. Protetto dal falso ideologico di Dalla Chiesa del 1971 sui rapporti DC-mafia (denuncia Pantaleone).</w:t>
      </w:r>
    </w:p>
    <w:p>
      <w:pPr>
        <w:spacing w:line="276" w:lineRule="auto" w:before="200" w:after="60"/>
        <w:ind w:firstLine="0"/>
        <w:jc w:val="both"/>
      </w:pPr>
      <w:r>
        <w:rPr>
          <w:rFonts w:ascii="Times New Roman" w:hAnsi="Times New Roman" w:cs="Times New Roman" w:eastAsia="Times New Roman"/>
          <w:b/>
          <w:i w:val="0"/>
          <w:sz w:val="24"/>
        </w:rPr>
        <w:t>Sinapsi in uscita dichiarate</w:t>
      </w:r>
    </w:p>
    <w:p>
      <w:pPr>
        <w:spacing w:line="276" w:lineRule="auto" w:before="0" w:after="60"/>
        <w:ind w:firstLine="425"/>
        <w:jc w:val="both"/>
      </w:pPr>
      <w:r>
        <w:rPr>
          <w:rFonts w:ascii="Times New Roman" w:hAnsi="Times New Roman" w:cs="Times New Roman" w:eastAsia="Times New Roman"/>
          <w:b w:val="0"/>
          <w:i w:val="0"/>
          <w:sz w:val="24"/>
        </w:rPr>
        <w:t>La riga delle connessioni della scheda dichiara le seguenti sinapsi, qui instradate sul dominio primario del bersaglio quando il bersaglio è un neurone censito: DC siciliana (non censito); Sacco di Palermo (non censito); falso Dalla Chiesa 1971 (non censito) ⊕. La ripartizione conta zero sinapsi intra-dominio, zero inter-dominio e tre dirette a bersagli non censiti nel registro dei nodi, candidati alla futura formalizzazione.</w:t>
      </w:r>
    </w:p>
    <w:p>
      <w:pPr>
        <w:spacing w:line="276" w:lineRule="auto" w:before="200" w:after="60"/>
        <w:ind w:firstLine="0"/>
        <w:jc w:val="both"/>
      </w:pPr>
      <w:r>
        <w:rPr>
          <w:rFonts w:ascii="Times New Roman" w:hAnsi="Times New Roman" w:cs="Times New Roman" w:eastAsia="Times New Roman"/>
          <w:b/>
          <w:i w:val="0"/>
          <w:sz w:val="24"/>
        </w:rPr>
        <w:t>Sinapsi in entrata rilevate</w:t>
      </w:r>
    </w:p>
    <w:p>
      <w:pPr>
        <w:spacing w:line="276" w:lineRule="auto" w:before="0" w:after="60"/>
        <w:ind w:firstLine="425"/>
        <w:jc w:val="both"/>
      </w:pPr>
      <w:r>
        <w:rPr>
          <w:rFonts w:ascii="Times New Roman" w:hAnsi="Times New Roman" w:cs="Times New Roman" w:eastAsia="Times New Roman"/>
          <w:b w:val="0"/>
          <w:i w:val="0"/>
          <w:sz w:val="24"/>
        </w:rPr>
        <w:t>uno neuroni del censimento citano questo nodo nella propria riga di connessioni: Giuseppe Piromalli (Don Peppe) (D1). Il rilevamento è automatico per appaiamento lessicale ed è di Livello C.</w:t>
      </w:r>
    </w:p>
    <w:p>
      <w:pPr>
        <w:spacing w:line="276" w:lineRule="auto" w:before="200" w:after="60"/>
        <w:ind w:firstLine="0"/>
        <w:jc w:val="both"/>
      </w:pPr>
      <w:r>
        <w:rPr>
          <w:rFonts w:ascii="Times New Roman" w:hAnsi="Times New Roman" w:cs="Times New Roman" w:eastAsia="Times New Roman"/>
          <w:b/>
          <w:i w:val="0"/>
          <w:sz w:val="24"/>
        </w:rPr>
        <w:t>Archi cross-section in cui il nodo compare</w:t>
      </w:r>
    </w:p>
    <w:p>
      <w:pPr>
        <w:spacing w:line="276" w:lineRule="auto" w:before="100" w:after="40"/>
        <w:ind w:firstLine="0"/>
        <w:jc w:val="both"/>
      </w:pPr>
      <w:r>
        <w:rPr>
          <w:rFonts w:ascii="Times New Roman" w:hAnsi="Times New Roman" w:cs="Times New Roman" w:eastAsia="Times New Roman"/>
          <w:b/>
          <w:i w:val="0"/>
          <w:sz w:val="24"/>
        </w:rPr>
        <w:t>◈ Arco #07 — Ndrangheta → Sinaloa-CJNG → Cocaina europea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L'asse Ndrangheta-Sinaloa-CJNG come hub principale del traffico globale di cocaina dagli anni Novanta. La 'ndrina dei Pelle-Vottari, la cosca dei Morabito, il Crimine di Polsi come centrali europee. La proiezione su Gioia Tauro (porto principale di entrata della cocaina sudamericana in Europa). Il modello operativo della 'ndrangheta come confederazione orizzontale-federata (analogo strutturale del CJNG di El Mencho) lo rende isomorfo ai cartelli messicani contemporanei.</w:t>
      </w:r>
    </w:p>
    <w:p>
      <w:pPr>
        <w:spacing w:line="276" w:lineRule="auto" w:before="0" w:after="40"/>
        <w:ind w:firstLine="425"/>
        <w:jc w:val="both"/>
      </w:pPr>
      <w:r>
        <w:rPr>
          <w:rFonts w:ascii="Times New Roman" w:hAnsi="Times New Roman" w:cs="Times New Roman" w:eastAsia="Times New Roman"/>
          <w:b w:val="0"/>
          <w:i w:val="0"/>
          <w:sz w:val="24"/>
        </w:rPr>
        <w:t>Attori principali: Famiglia Pelle, Famiglia Morabito, Famiglia Pannunzi, El Chapo, El Mayo, El Mencho</w:t>
      </w:r>
    </w:p>
    <w:p>
      <w:pPr>
        <w:spacing w:line="276" w:lineRule="auto" w:before="200" w:after="60"/>
        <w:ind w:firstLine="0"/>
        <w:jc w:val="both"/>
      </w:pPr>
      <w:r>
        <w:rPr>
          <w:rFonts w:ascii="Times New Roman" w:hAnsi="Times New Roman" w:cs="Times New Roman" w:eastAsia="Times New Roman"/>
          <w:b/>
          <w:i w:val="0"/>
          <w:sz w:val="24"/>
        </w:rPr>
        <w:t>Nodi-evento correlati</w:t>
      </w:r>
    </w:p>
    <w:p>
      <w:pPr>
        <w:spacing w:line="276" w:lineRule="auto" w:before="0" w:after="40"/>
        <w:ind w:firstLine="425"/>
        <w:jc w:val="both"/>
      </w:pPr>
      <w:r>
        <w:rPr>
          <w:rFonts w:ascii="Times New Roman" w:hAnsi="Times New Roman" w:cs="Times New Roman" w:eastAsia="Times New Roman"/>
          <w:b w:val="0"/>
          <w:i w:val="0"/>
          <w:sz w:val="24"/>
        </w:rPr>
        <w:t>I nodi-evento seguenti citano il neurone; ordinamento cronologico; attribuzione automatica di Livello C.</w:t>
      </w:r>
    </w:p>
    <w:p>
      <w:pPr>
        <w:spacing w:line="276" w:lineRule="auto" w:before="60" w:after="40"/>
        <w:ind w:firstLine="0"/>
        <w:jc w:val="both"/>
      </w:pPr>
      <w:r>
        <w:rPr>
          <w:rFonts w:ascii="Times New Roman" w:hAnsi="Times New Roman" w:cs="Times New Roman" w:eastAsia="Times New Roman"/>
          <w:b/>
          <w:i w:val="0"/>
          <w:sz w:val="24"/>
        </w:rPr>
        <w:t xml:space="preserve">› Gioia Tauro (1+): </w:t>
      </w:r>
      <w:r>
        <w:rPr>
          <w:rFonts w:ascii="Times New Roman" w:hAnsi="Times New Roman" w:cs="Times New Roman" w:eastAsia="Times New Roman"/>
          <w:b w:val="0"/>
          <w:i w:val="0"/>
          <w:sz w:val="24"/>
        </w:rPr>
        <w:t>RC. Hub cocaina Ndrangheta</w:t>
      </w:r>
    </w:p>
    <w:p>
      <w:pPr>
        <w:spacing w:line="276" w:lineRule="auto" w:before="200" w:after="60"/>
        <w:ind w:firstLine="0"/>
        <w:jc w:val="both"/>
      </w:pPr>
      <w:r>
        <w:rPr>
          <w:rFonts w:ascii="Times New Roman" w:hAnsi="Times New Roman" w:cs="Times New Roman" w:eastAsia="Times New Roman"/>
          <w:b/>
          <w:i w:val="0"/>
          <w:sz w:val="24"/>
        </w:rPr>
        <w:t>Statuto e lacune</w:t>
      </w:r>
    </w:p>
    <w:p>
      <w:pPr>
        <w:spacing w:line="276" w:lineRule="auto" w:before="0" w:after="0"/>
        <w:ind w:firstLine="425"/>
        <w:jc w:val="both"/>
      </w:pPr>
      <w:r>
        <w:rPr>
          <w:rFonts w:ascii="Times New Roman" w:hAnsi="Times New Roman" w:cs="Times New Roman" w:eastAsia="Times New Roman"/>
          <w:b w:val="0"/>
          <w:i w:val="0"/>
          <w:sz w:val="24"/>
        </w:rPr>
        <w:t>Le sezioni di rilevamento automatico — sinapsi in entrata, archi ed eventi — sono di Livello C per costruzione e la loro promozione passa per il vaglio dell’autore; l’appaiamento usa il nome completo e, solo se univoci nel censimento, il cognome o la sigla, sicché le citazioni per cognome omonimo possono sfuggire e vanno recuperate manualmente. La sinaptogenesi sistematica del neurone appartiene alla fase successiva dell’opera.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