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Giulio Andreotti</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D3 D4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«Giulio Andreotti», nodo-persona del Registro Integrale V63 a dominanza primaria nel Dominio Due, Potere Politico, classificato cardinale, con proiezione sulle aree D3 (Intelligence e Servizi Segreti), D4 (Massoneria e Società Segrete).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Gladio (non censito); SID (D3); Loggia P2 (D4); Lima-Ciancimino (non censito); Bontate (D1); Pecorelli (D8); Maletti (D3); Calvi (omonimia: D2/D6) ⊕. La ripartizione conta zero sinapsi intra-dominio, sei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quattro neuroni del censimento citano questo nodo nella propria riga di connessioni: Aldo Moro (D2); Claudio Vitalone (D2); Salvo Lima (D2); Mino Pecorelli (D8).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10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00" w:after="40"/>
        <w:ind w:firstLine="0"/>
        <w:jc w:val="both"/>
      </w:pPr>
      <w:r>
        <w:rPr>
          <w:rFonts w:ascii="Times New Roman" w:hAnsi="Times New Roman" w:cs="Times New Roman" w:eastAsia="Times New Roman"/>
          <w:b/>
          <w:i w:val="0"/>
          <w:sz w:val="24"/>
        </w:rPr>
        <w:t>◈ Arco #18 — Sismi-Mossad → Affari Achille Lauro-Sigonella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before="0" w:after="40"/>
        <w:ind w:firstLine="425"/>
        <w:jc w:val="both"/>
      </w:pPr>
      <w:r>
        <w:rPr>
          <w:rFonts w:ascii="Times New Roman" w:hAnsi="Times New Roman" w:cs="Times New Roman" w:eastAsia="Times New Roman"/>
          <w:b w:val="0"/>
          <w:i w:val="0"/>
          <w:sz w:val="24"/>
        </w:rPr>
        <w:t>Attori principali: Bettino Craxi, Giulio Andreotti, Fulvio Martini, Abu Abbas, Yitzhak Rabin</w:t>
      </w:r>
    </w:p>
    <w:p>
      <w:pPr>
        <w:spacing w:line="276" w:lineRule="auto" w:before="10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00" w:after="40"/>
        <w:ind w:firstLine="0"/>
        <w:jc w:val="both"/>
      </w:pPr>
      <w:r>
        <w:rPr>
          <w:rFonts w:ascii="Times New Roman" w:hAnsi="Times New Roman" w:cs="Times New Roman" w:eastAsia="Times New Roman"/>
          <w:b/>
          <w:i w:val="0"/>
          <w:sz w:val="24"/>
        </w:rPr>
        <w:t>◈ Arco #51 — Vatican-Opus Dei-CL → Politica italiana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before="0" w:after="40"/>
        <w:ind w:firstLine="425"/>
        <w:jc w:val="both"/>
      </w:pPr>
      <w:r>
        <w:rPr>
          <w:rFonts w:ascii="Times New Roman" w:hAnsi="Times New Roman" w:cs="Times New Roman" w:eastAsia="Times New Roman"/>
          <w:b w:val="0"/>
          <w:i w:val="0"/>
          <w:sz w:val="24"/>
        </w:rPr>
        <w:t>Attori principali: Josemaría Escrivá, Luigi Giussani, Chiara Lubich, Karol Wojtyła, Joseph Ratzinger</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Operazione Gladio (ricorrenze multiple): </w:t>
      </w:r>
      <w:r>
        <w:rPr>
          <w:rFonts w:ascii="Times New Roman" w:hAnsi="Times New Roman" w:cs="Times New Roman" w:eastAsia="Times New Roman"/>
          <w:b w:val="0"/>
          <w:i w:val="0"/>
          <w:sz w:val="24"/>
        </w:rPr>
        <w:t>Stay-behind italiana NATO 1956-1990. Andreotti rivelazione 24/10/1990</w:t>
      </w:r>
    </w:p>
    <w:p>
      <w:pPr>
        <w:spacing w:line="276" w:lineRule="auto" w:before="60" w:after="40"/>
        <w:ind w:firstLine="0"/>
        <w:jc w:val="both"/>
      </w:pPr>
      <w:r>
        <w:rPr>
          <w:rFonts w:ascii="Times New Roman" w:hAnsi="Times New Roman" w:cs="Times New Roman" w:eastAsia="Times New Roman"/>
          <w:b/>
          <w:i w:val="0"/>
          <w:sz w:val="24"/>
        </w:rPr>
        <w:t xml:space="preserve">› Omicidio Pecorelli (ricorrenze multiple): </w:t>
      </w:r>
      <w:r>
        <w:rPr>
          <w:rFonts w:ascii="Times New Roman" w:hAnsi="Times New Roman" w:cs="Times New Roman" w:eastAsia="Times New Roman"/>
          <w:b w:val="0"/>
          <w:i w:val="0"/>
          <w:sz w:val="24"/>
        </w:rPr>
        <w:t>20/3/1979 Roma. Andreotti-Cosa Nostra processo Perugia</w:t>
      </w:r>
    </w:p>
    <w:p>
      <w:pPr>
        <w:spacing w:line="276" w:lineRule="auto" w:before="60" w:after="40"/>
        <w:ind w:firstLine="0"/>
        <w:jc w:val="both"/>
      </w:pPr>
      <w:r>
        <w:rPr>
          <w:rFonts w:ascii="Times New Roman" w:hAnsi="Times New Roman" w:cs="Times New Roman" w:eastAsia="Times New Roman"/>
          <w:b/>
          <w:i w:val="0"/>
          <w:sz w:val="24"/>
        </w:rPr>
        <w:t xml:space="preserve">› Maastricht 1992 (1+): </w:t>
      </w:r>
      <w:r>
        <w:rPr>
          <w:rFonts w:ascii="Times New Roman" w:hAnsi="Times New Roman" w:cs="Times New Roman" w:eastAsia="Times New Roman"/>
          <w:b w:val="0"/>
          <w:i w:val="0"/>
          <w:sz w:val="24"/>
        </w:rPr>
        <w:t>UE. Andreotti-Mitterrand-Kohl</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