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ind w:firstLine="0"/>
        <w:jc w:val="center"/>
      </w:pPr>
      <w:r>
        <w:rPr>
          <w:rFonts w:ascii="Times New Roman" w:hAnsi="Times New Roman" w:cs="Times New Roman" w:eastAsia="Times New Roman"/>
          <w:b/>
          <w:i w:val="0"/>
          <w:sz w:val="30"/>
        </w:rPr>
        <w:t>ITALIA NERA</w:t>
      </w:r>
    </w:p>
    <w:p>
      <w:pPr>
        <w:spacing w:line="276" w:lineRule="auto" w:before="0" w:after="200"/>
        <w:ind w:firstLine="0"/>
        <w:jc w:val="center"/>
      </w:pPr>
      <w:r>
        <w:rPr>
          <w:rFonts w:ascii="Times New Roman" w:hAnsi="Times New Roman" w:cs="Times New Roman" w:eastAsia="Times New Roman"/>
          <w:b w:val="0"/>
          <w:i/>
          <w:sz w:val="22"/>
        </w:rPr>
        <w:t>Registro Analitico delle Reti Informali Transnazionali</w:t>
      </w:r>
    </w:p>
    <w:p>
      <w:pPr>
        <w:spacing w:line="276" w:lineRule="auto" w:before="0" w:after="40"/>
        <w:ind w:firstLine="0"/>
        <w:jc w:val="center"/>
      </w:pPr>
      <w:r>
        <w:rPr>
          <w:rFonts w:ascii="Times New Roman" w:hAnsi="Times New Roman" w:cs="Times New Roman" w:eastAsia="Times New Roman"/>
          <w:b/>
          <w:i w:val="0"/>
          <w:sz w:val="24"/>
        </w:rPr>
        <w:t>DOCUMENTO-NODO</w:t>
      </w:r>
    </w:p>
    <w:p>
      <w:pPr>
        <w:spacing w:line="276" w:lineRule="auto" w:before="0" w:after="40"/>
        <w:ind w:firstLine="0"/>
        <w:jc w:val="center"/>
      </w:pPr>
      <w:r>
        <w:rPr>
          <w:rFonts w:ascii="Times New Roman" w:hAnsi="Times New Roman" w:cs="Times New Roman" w:eastAsia="Times New Roman"/>
          <w:b/>
          <w:i w:val="0"/>
          <w:sz w:val="28"/>
        </w:rPr>
        <w:t>▶ Stephen Miller</w:t>
      </w:r>
    </w:p>
    <w:p>
      <w:pPr>
        <w:spacing w:line="276" w:lineRule="auto" w:before="0" w:after="40"/>
        <w:ind w:firstLine="0"/>
        <w:jc w:val="center"/>
      </w:pPr>
      <w:r>
        <w:rPr>
          <w:rFonts w:ascii="Times New Roman" w:hAnsi="Times New Roman" w:cs="Times New Roman" w:eastAsia="Times New Roman"/>
          <w:b w:val="0"/>
          <w:i w:val="0"/>
          <w:sz w:val="22"/>
        </w:rPr>
        <w:t xml:space="preserve">Dominio primario D2 — Potere Politico   [D2 | </w:t>
      </w:r>
      <w:r>
        <w:rPr>
          <w:rFonts w:ascii="Times New Roman" w:hAnsi="Times New Roman" w:cs="Times New Roman" w:eastAsia="Times New Roman"/>
          <w:b/>
          <w:i w:val="0"/>
          <w:sz w:val="22"/>
        </w:rPr>
        <w:t>Savona A</w:t>
      </w:r>
      <w:r>
        <w:rPr>
          <w:rFonts w:ascii="Times New Roman" w:hAnsi="Times New Roman" w:cs="Times New Roman" w:eastAsia="Times New Roman"/>
          <w:b w:val="0"/>
          <w:i w:val="0"/>
          <w:sz w:val="22"/>
        </w:rPr>
        <w:t>]</w:t>
      </w:r>
    </w:p>
    <w:p>
      <w:pPr>
        <w:spacing w:line="276" w:lineRule="auto" w:before="0" w:after="160"/>
        <w:ind w:firstLine="0"/>
        <w:jc w:val="center"/>
      </w:pPr>
      <w:r>
        <w:rPr>
          <w:rFonts w:ascii="Times New Roman" w:hAnsi="Times New Roman" w:cs="Times New Roman" w:eastAsia="Times New Roman"/>
          <w:b w:val="0"/>
          <w:i w:val="0"/>
          <w:sz w:val="20"/>
        </w:rPr>
        <w:t>Luigi De Michele — Due agosto duemilaventisei</w:t>
      </w:r>
    </w:p>
    <w:p>
      <w:pPr>
        <w:spacing w:line="276" w:lineRule="auto" w:before="200" w:after="60"/>
        <w:ind w:firstLine="0"/>
        <w:jc w:val="both"/>
      </w:pPr>
      <w:r>
        <w:rPr>
          <w:rFonts w:ascii="Times New Roman" w:hAnsi="Times New Roman" w:cs="Times New Roman" w:eastAsia="Times New Roman"/>
          <w:b/>
          <w:i w:val="0"/>
          <w:sz w:val="24"/>
        </w:rPr>
        <w:t>Identità e classificazione</w:t>
      </w:r>
    </w:p>
    <w:p>
      <w:pPr>
        <w:spacing w:line="276" w:lineRule="auto" w:before="0" w:after="60"/>
        <w:ind w:firstLine="425"/>
        <w:jc w:val="both"/>
      </w:pPr>
      <w:r>
        <w:rPr>
          <w:rFonts w:ascii="Times New Roman" w:hAnsi="Times New Roman" w:cs="Times New Roman" w:eastAsia="Times New Roman"/>
          <w:b w:val="0"/>
          <w:i w:val="0"/>
          <w:sz w:val="24"/>
        </w:rPr>
        <w:t>Il presente documento è il dossier del neurone «Stephen Miller», nodo-persona del Registro Integrale V63 a dominanza primaria nel Dominio Due, Potere Politico. Il livello probatorio della scheda è Savona A, attribuito nella sede d’origine e qui conservato senza eccezioni.</w:t>
      </w:r>
    </w:p>
    <w:p>
      <w:pPr>
        <w:spacing w:line="276" w:lineRule="auto" w:before="200" w:after="60"/>
        <w:ind w:firstLine="0"/>
        <w:jc w:val="both"/>
      </w:pPr>
      <w:r>
        <w:rPr>
          <w:rFonts w:ascii="Times New Roman" w:hAnsi="Times New Roman" w:cs="Times New Roman" w:eastAsia="Times New Roman"/>
          <w:b/>
          <w:i w:val="0"/>
          <w:sz w:val="24"/>
        </w:rPr>
        <w:t>Scheda del Registro Integrale V63</w:t>
      </w:r>
    </w:p>
    <w:p>
      <w:pPr>
        <w:spacing w:line="276" w:lineRule="auto" w:before="0" w:after="60"/>
        <w:ind w:firstLine="425"/>
        <w:jc w:val="both"/>
      </w:pPr>
      <w:r>
        <w:rPr>
          <w:rFonts w:ascii="Times New Roman" w:hAnsi="Times New Roman" w:cs="Times New Roman" w:eastAsia="Times New Roman"/>
          <w:b w:val="0"/>
          <w:i w:val="0"/>
          <w:sz w:val="24"/>
        </w:rPr>
        <w:t>Santa Monica 1985. Architetto delle politiche anti-immigrazione di Trump.</w:t>
      </w:r>
    </w:p>
    <w:p>
      <w:pPr>
        <w:spacing w:line="276" w:lineRule="auto" w:before="200" w:after="60"/>
        <w:ind w:firstLine="0"/>
        <w:jc w:val="both"/>
      </w:pPr>
      <w:r>
        <w:rPr>
          <w:rFonts w:ascii="Times New Roman" w:hAnsi="Times New Roman" w:cs="Times New Roman" w:eastAsia="Times New Roman"/>
          <w:b/>
          <w:i w:val="0"/>
          <w:sz w:val="24"/>
        </w:rPr>
        <w:t>Sinapsi in uscita dichiarate</w:t>
      </w:r>
    </w:p>
    <w:p>
      <w:pPr>
        <w:spacing w:line="276" w:lineRule="auto" w:before="0" w:after="60"/>
        <w:ind w:firstLine="425"/>
        <w:jc w:val="both"/>
      </w:pPr>
      <w:r>
        <w:rPr>
          <w:rFonts w:ascii="Times New Roman" w:hAnsi="Times New Roman" w:cs="Times New Roman" w:eastAsia="Times New Roman"/>
          <w:b w:val="0"/>
          <w:i w:val="0"/>
          <w:sz w:val="24"/>
        </w:rPr>
        <w:t>La riga delle connessioni della scheda dichiara le seguenti sinapsi, qui instradate sul dominio primario del bersaglio quando il bersaglio è un neurone censito: MAGA (D2); immigrazione (non censito) ⊕. La ripartizione conta una sinapsi intra-dominio, zero inter-dominio e una dirette a bersagli non censiti nel registro dei nodi, candidati alla futura formalizzazione.</w:t>
      </w:r>
    </w:p>
    <w:p>
      <w:pPr>
        <w:spacing w:line="276" w:lineRule="auto" w:before="200" w:after="60"/>
        <w:ind w:firstLine="0"/>
        <w:jc w:val="both"/>
      </w:pPr>
      <w:r>
        <w:rPr>
          <w:rFonts w:ascii="Times New Roman" w:hAnsi="Times New Roman" w:cs="Times New Roman" w:eastAsia="Times New Roman"/>
          <w:b/>
          <w:i w:val="0"/>
          <w:sz w:val="24"/>
        </w:rPr>
        <w:t>Sinapsi in entrata rilevate</w:t>
      </w:r>
    </w:p>
    <w:p>
      <w:pPr>
        <w:spacing w:line="276" w:lineRule="auto" w:before="0" w:after="60"/>
        <w:ind w:firstLine="425"/>
        <w:jc w:val="both"/>
      </w:pPr>
      <w:r>
        <w:rPr>
          <w:rFonts w:ascii="Times New Roman" w:hAnsi="Times New Roman" w:cs="Times New Roman" w:eastAsia="Times New Roman"/>
          <w:b w:val="0"/>
          <w:i w:val="0"/>
          <w:sz w:val="24"/>
        </w:rPr>
        <w:t>Nessun neurone del censimento cita questo nodo nella propria riga di connessioni: assenza rilevata automaticamente, di Livello C.</w:t>
      </w:r>
    </w:p>
    <w:p>
      <w:pPr>
        <w:spacing w:line="276" w:lineRule="auto" w:before="200" w:after="60"/>
        <w:ind w:firstLine="0"/>
        <w:jc w:val="both"/>
      </w:pPr>
      <w:r>
        <w:rPr>
          <w:rFonts w:ascii="Times New Roman" w:hAnsi="Times New Roman" w:cs="Times New Roman" w:eastAsia="Times New Roman"/>
          <w:b/>
          <w:i w:val="0"/>
          <w:sz w:val="24"/>
        </w:rPr>
        <w:t>Archi cross-section in cui il nodo compare</w:t>
      </w:r>
    </w:p>
    <w:p>
      <w:pPr>
        <w:spacing w:line="276" w:lineRule="auto" w:before="100" w:after="40"/>
        <w:ind w:firstLine="0"/>
        <w:jc w:val="both"/>
      </w:pPr>
      <w:r>
        <w:rPr>
          <w:rFonts w:ascii="Times New Roman" w:hAnsi="Times New Roman" w:cs="Times New Roman" w:eastAsia="Times New Roman"/>
          <w:b/>
          <w:i w:val="0"/>
          <w:sz w:val="24"/>
        </w:rPr>
        <w:t>◈ Arco #26 — Bannon-Steve Miller → Le Cercle moderna (Filiazione ideologica)</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B</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Steve Bannon come architetto del MAGA-trumpismo e ideologo della destra populista globale. Discepoli: Marion Maréchal-Le Pen (Francia), Matteo Salvini (Italia), Viktor Orbán (Ungheria), Jair Bolsonaro (Brasile), Javier Milei (Argentina). Movimento ai sensi geopolitici come Le Cercle moderna (rete coordinata informalmente). Heritage Foundation Project 2025 come piano programmatico.</w:t>
      </w:r>
    </w:p>
    <w:p>
      <w:pPr>
        <w:spacing w:line="276" w:lineRule="auto" w:before="0" w:after="40"/>
        <w:ind w:firstLine="425"/>
        <w:jc w:val="both"/>
      </w:pPr>
      <w:r>
        <w:rPr>
          <w:rFonts w:ascii="Times New Roman" w:hAnsi="Times New Roman" w:cs="Times New Roman" w:eastAsia="Times New Roman"/>
          <w:b w:val="0"/>
          <w:i w:val="0"/>
          <w:sz w:val="24"/>
        </w:rPr>
        <w:t>Attori principali: Steve Bannon, Stephen Miller, Marion Maréchal, Viktor Orbán, Matteo Salvini</w:t>
      </w:r>
    </w:p>
    <w:p>
      <w:pPr>
        <w:spacing w:line="276" w:lineRule="auto" w:before="200" w:after="60"/>
        <w:ind w:firstLine="0"/>
        <w:jc w:val="both"/>
      </w:pPr>
      <w:r>
        <w:rPr>
          <w:rFonts w:ascii="Times New Roman" w:hAnsi="Times New Roman" w:cs="Times New Roman" w:eastAsia="Times New Roman"/>
          <w:b/>
          <w:i w:val="0"/>
          <w:sz w:val="24"/>
        </w:rPr>
        <w:t>Nodi-evento correlati</w:t>
      </w:r>
    </w:p>
    <w:p>
      <w:pPr>
        <w:spacing w:line="276" w:lineRule="auto" w:before="0" w:after="60"/>
        <w:ind w:firstLine="425"/>
        <w:jc w:val="both"/>
      </w:pPr>
      <w:r>
        <w:rPr>
          <w:rFonts w:ascii="Times New Roman" w:hAnsi="Times New Roman" w:cs="Times New Roman" w:eastAsia="Times New Roman"/>
          <w:b w:val="0"/>
          <w:i w:val="0"/>
          <w:sz w:val="24"/>
        </w:rPr>
        <w:t>Nessun nodo-evento della cronologia marcata cita il neurone (rilevamento automatico, Livello C).</w:t>
      </w:r>
    </w:p>
    <w:p>
      <w:pPr>
        <w:spacing w:line="276" w:lineRule="auto" w:before="200" w:after="60"/>
        <w:ind w:firstLine="0"/>
        <w:jc w:val="both"/>
      </w:pPr>
      <w:r>
        <w:rPr>
          <w:rFonts w:ascii="Times New Roman" w:hAnsi="Times New Roman" w:cs="Times New Roman" w:eastAsia="Times New Roman"/>
          <w:b/>
          <w:i w:val="0"/>
          <w:sz w:val="24"/>
        </w:rPr>
        <w:t>Statuto e lacune</w:t>
      </w:r>
    </w:p>
    <w:p>
      <w:pPr>
        <w:spacing w:line="276" w:lineRule="auto" w:before="0" w:after="0"/>
        <w:ind w:firstLine="425"/>
        <w:jc w:val="both"/>
      </w:pPr>
      <w:r>
        <w:rPr>
          <w:rFonts w:ascii="Times New Roman" w:hAnsi="Times New Roman" w:cs="Times New Roman" w:eastAsia="Times New Roman"/>
          <w:b w:val="0"/>
          <w:i w:val="0"/>
          <w:sz w:val="24"/>
        </w:rPr>
        <w:t>Le sezioni di rilevamento automatico — sinapsi in entrata, archi ed eventi — sono di Livello C per costruzione e la loro promozione passa per il vaglio dell’autore; l’appaiamento usa il nome completo e, solo se univoci nel censimento, il cognome o la sigla, sicché le citazioni per cognome omonimo possono sfuggire e vanno recuperate manualmente. La sinaptogenesi sistematica del neurone appartiene alla fase successiva dell’opera.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